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ED2" w:rsidRPr="007A4E6B" w:rsidRDefault="00B73ED2" w:rsidP="00B73ED2">
      <w:pPr>
        <w:tabs>
          <w:tab w:val="left" w:pos="5895"/>
        </w:tabs>
        <w:jc w:val="center"/>
        <w:rPr>
          <w:rFonts w:asciiTheme="minorHAnsi" w:hAnsiTheme="minorHAnsi" w:cstheme="minorHAnsi"/>
          <w:b/>
          <w:sz w:val="22"/>
          <w:szCs w:val="22"/>
          <w:lang w:val="es-HN"/>
        </w:rPr>
      </w:pPr>
    </w:p>
    <w:p w:rsidR="00B73ED2" w:rsidRPr="007A4E6B" w:rsidRDefault="00B73ED2" w:rsidP="00B73ED2">
      <w:pPr>
        <w:tabs>
          <w:tab w:val="left" w:pos="5895"/>
        </w:tabs>
        <w:jc w:val="center"/>
        <w:rPr>
          <w:rFonts w:asciiTheme="minorHAnsi" w:hAnsiTheme="minorHAnsi" w:cstheme="minorHAnsi"/>
          <w:b/>
          <w:sz w:val="22"/>
          <w:szCs w:val="22"/>
          <w:lang w:val="es-HN"/>
        </w:rPr>
      </w:pPr>
    </w:p>
    <w:p w:rsidR="00FE1FE4" w:rsidRDefault="00FE1FE4" w:rsidP="00B73ED2">
      <w:pPr>
        <w:tabs>
          <w:tab w:val="left" w:pos="5895"/>
        </w:tabs>
        <w:jc w:val="center"/>
        <w:rPr>
          <w:rFonts w:asciiTheme="minorHAnsi" w:hAnsiTheme="minorHAnsi" w:cstheme="minorHAnsi"/>
          <w:b/>
          <w:sz w:val="22"/>
          <w:szCs w:val="22"/>
          <w:lang w:val="es-HN"/>
        </w:rPr>
      </w:pPr>
    </w:p>
    <w:p w:rsidR="00B73ED2" w:rsidRPr="007A4E6B" w:rsidRDefault="00B73ED2" w:rsidP="00B73ED2">
      <w:pPr>
        <w:tabs>
          <w:tab w:val="left" w:pos="5895"/>
        </w:tabs>
        <w:jc w:val="center"/>
        <w:rPr>
          <w:rFonts w:asciiTheme="minorHAnsi" w:hAnsiTheme="minorHAnsi" w:cstheme="minorHAnsi"/>
          <w:b/>
          <w:sz w:val="22"/>
          <w:szCs w:val="22"/>
          <w:lang w:val="es-HN"/>
        </w:rPr>
      </w:pPr>
      <w:bookmarkStart w:id="0" w:name="_GoBack"/>
      <w:bookmarkEnd w:id="0"/>
      <w:r w:rsidRPr="007A4E6B">
        <w:rPr>
          <w:rFonts w:asciiTheme="minorHAnsi" w:hAnsiTheme="minorHAnsi" w:cstheme="minorHAnsi"/>
          <w:b/>
          <w:sz w:val="22"/>
          <w:szCs w:val="22"/>
          <w:lang w:val="es-HN"/>
        </w:rPr>
        <w:t>INVITACION</w:t>
      </w:r>
    </w:p>
    <w:p w:rsidR="00B73ED2" w:rsidRPr="007A4E6B" w:rsidRDefault="00B73ED2" w:rsidP="00B73ED2">
      <w:pPr>
        <w:tabs>
          <w:tab w:val="left" w:pos="5895"/>
        </w:tabs>
        <w:jc w:val="center"/>
        <w:rPr>
          <w:rFonts w:asciiTheme="minorHAnsi" w:hAnsiTheme="minorHAnsi" w:cstheme="minorHAnsi"/>
          <w:b/>
          <w:sz w:val="22"/>
          <w:szCs w:val="22"/>
          <w:lang w:val="es-HN"/>
        </w:rPr>
      </w:pPr>
    </w:p>
    <w:p w:rsidR="00B73ED2" w:rsidRPr="007A4E6B" w:rsidRDefault="00B73ED2" w:rsidP="00B73ED2">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 xml:space="preserve">La Dirección Nacional de Parques y Recreación (DPR), a través de la Unidad de Licitaciones, por medio de la presente INVITA a participar a las Empresas Constructoras debidamente Precalificadas a participar en el proceso para la Contratación de Obras Menores </w:t>
      </w:r>
      <w:r w:rsidRPr="007A4E6B">
        <w:rPr>
          <w:rFonts w:asciiTheme="minorHAnsi" w:hAnsiTheme="minorHAnsi" w:cstheme="minorHAnsi"/>
          <w:b/>
          <w:sz w:val="22"/>
          <w:szCs w:val="22"/>
          <w:lang w:val="es-ES"/>
        </w:rPr>
        <w:t>COT</w:t>
      </w:r>
      <w:r w:rsidR="007A4E6B" w:rsidRPr="007A4E6B">
        <w:rPr>
          <w:rFonts w:asciiTheme="minorHAnsi" w:hAnsiTheme="minorHAnsi" w:cstheme="minorHAnsi"/>
          <w:b/>
          <w:sz w:val="22"/>
          <w:szCs w:val="22"/>
          <w:lang w:val="es-ES"/>
        </w:rPr>
        <w:t>-002</w:t>
      </w:r>
      <w:r w:rsidRPr="007A4E6B">
        <w:rPr>
          <w:rFonts w:asciiTheme="minorHAnsi" w:hAnsiTheme="minorHAnsi" w:cstheme="minorHAnsi"/>
          <w:b/>
          <w:sz w:val="22"/>
          <w:szCs w:val="22"/>
          <w:lang w:val="es-ES"/>
        </w:rPr>
        <w:t>-DPR-2019</w:t>
      </w:r>
      <w:r w:rsidRPr="007A4E6B">
        <w:rPr>
          <w:rFonts w:asciiTheme="minorHAnsi" w:hAnsiTheme="minorHAnsi" w:cstheme="minorHAnsi"/>
          <w:sz w:val="22"/>
          <w:szCs w:val="22"/>
          <w:lang w:val="es-ES"/>
        </w:rPr>
        <w:t xml:space="preserve"> para la construcción de un parque para una vida mejor en el Municipio de </w:t>
      </w:r>
      <w:r w:rsidR="007A4E6B">
        <w:rPr>
          <w:rFonts w:asciiTheme="minorHAnsi" w:hAnsiTheme="minorHAnsi" w:cstheme="minorHAnsi"/>
          <w:sz w:val="22"/>
          <w:szCs w:val="22"/>
          <w:lang w:val="es-ES"/>
        </w:rPr>
        <w:t>Tomalá, Departamento de Lempira</w:t>
      </w:r>
      <w:r w:rsidRPr="007A4E6B">
        <w:rPr>
          <w:rFonts w:asciiTheme="minorHAnsi" w:hAnsiTheme="minorHAnsi" w:cstheme="minorHAnsi"/>
          <w:sz w:val="22"/>
          <w:szCs w:val="22"/>
          <w:lang w:val="es-ES"/>
        </w:rPr>
        <w:t>, Siguientes:</w:t>
      </w:r>
    </w:p>
    <w:p w:rsidR="007A4E6B" w:rsidRPr="007A4E6B" w:rsidRDefault="007A4E6B" w:rsidP="00B73ED2">
      <w:pPr>
        <w:tabs>
          <w:tab w:val="left" w:pos="5895"/>
        </w:tabs>
        <w:jc w:val="both"/>
        <w:rPr>
          <w:rFonts w:asciiTheme="minorHAnsi" w:hAnsiTheme="minorHAnsi" w:cstheme="minorHAnsi"/>
          <w:sz w:val="22"/>
          <w:szCs w:val="22"/>
          <w:lang w:val="es-ES"/>
        </w:rPr>
      </w:pPr>
    </w:p>
    <w:p w:rsidR="007A4E6B" w:rsidRPr="007A4E6B" w:rsidRDefault="007A4E6B" w:rsidP="007A4E6B">
      <w:pPr>
        <w:pStyle w:val="Prrafodelista"/>
        <w:numPr>
          <w:ilvl w:val="0"/>
          <w:numId w:val="2"/>
        </w:numPr>
        <w:tabs>
          <w:tab w:val="left" w:pos="5895"/>
        </w:tabs>
        <w:jc w:val="both"/>
        <w:rPr>
          <w:rFonts w:cstheme="minorHAnsi"/>
          <w:b/>
          <w:lang w:val="es-ES"/>
        </w:rPr>
      </w:pPr>
      <w:r w:rsidRPr="007A4E6B">
        <w:rPr>
          <w:rFonts w:cstheme="minorHAnsi"/>
          <w:b/>
          <w:lang w:val="es-ES"/>
        </w:rPr>
        <w:t>ING. ANDREA PAOLA FLAMENCO RAMIREZ</w:t>
      </w:r>
    </w:p>
    <w:p w:rsidR="007A4E6B" w:rsidRPr="007A4E6B" w:rsidRDefault="007A4E6B" w:rsidP="007A4E6B">
      <w:pPr>
        <w:pStyle w:val="Prrafodelista"/>
        <w:numPr>
          <w:ilvl w:val="0"/>
          <w:numId w:val="2"/>
        </w:numPr>
        <w:tabs>
          <w:tab w:val="left" w:pos="5895"/>
        </w:tabs>
        <w:jc w:val="both"/>
        <w:rPr>
          <w:rFonts w:cstheme="minorHAnsi"/>
          <w:b/>
          <w:lang w:val="es-ES"/>
        </w:rPr>
      </w:pPr>
      <w:r w:rsidRPr="007A4E6B">
        <w:rPr>
          <w:rFonts w:cstheme="minorHAnsi"/>
          <w:b/>
          <w:lang w:val="es-ES"/>
        </w:rPr>
        <w:t>CONSTRUCTORA CONESPRO</w:t>
      </w:r>
    </w:p>
    <w:p w:rsidR="007A4E6B" w:rsidRPr="007A4E6B" w:rsidRDefault="007A4E6B" w:rsidP="007A4E6B">
      <w:pPr>
        <w:pStyle w:val="Prrafodelista"/>
        <w:numPr>
          <w:ilvl w:val="0"/>
          <w:numId w:val="2"/>
        </w:numPr>
        <w:tabs>
          <w:tab w:val="left" w:pos="5895"/>
        </w:tabs>
        <w:jc w:val="both"/>
        <w:rPr>
          <w:rFonts w:cstheme="minorHAnsi"/>
          <w:b/>
          <w:lang w:val="es-ES"/>
        </w:rPr>
      </w:pPr>
      <w:r w:rsidRPr="007A4E6B">
        <w:rPr>
          <w:rFonts w:cstheme="minorHAnsi"/>
          <w:b/>
          <w:lang w:val="es-ES"/>
        </w:rPr>
        <w:t>ING. JOSE CIRIACO AVILES ROMERO</w:t>
      </w:r>
    </w:p>
    <w:p w:rsidR="00B73ED2" w:rsidRPr="007A4E6B" w:rsidRDefault="007A4E6B" w:rsidP="00B73ED2">
      <w:pPr>
        <w:pStyle w:val="Prrafodelista"/>
        <w:numPr>
          <w:ilvl w:val="0"/>
          <w:numId w:val="2"/>
        </w:numPr>
        <w:tabs>
          <w:tab w:val="left" w:pos="5895"/>
        </w:tabs>
        <w:jc w:val="both"/>
        <w:rPr>
          <w:rFonts w:cstheme="minorHAnsi"/>
          <w:b/>
          <w:lang w:val="es-ES"/>
        </w:rPr>
      </w:pPr>
      <w:r w:rsidRPr="007A4E6B">
        <w:rPr>
          <w:rFonts w:cstheme="minorHAnsi"/>
          <w:b/>
          <w:lang w:val="es-ES"/>
        </w:rPr>
        <w:t>ING. LOURDES PATRICIA QUAN</w:t>
      </w:r>
    </w:p>
    <w:p w:rsidR="00B73ED2" w:rsidRPr="007A4E6B" w:rsidRDefault="00B73ED2" w:rsidP="00B73ED2">
      <w:pPr>
        <w:tabs>
          <w:tab w:val="left" w:pos="5895"/>
        </w:tabs>
        <w:jc w:val="both"/>
        <w:rPr>
          <w:rFonts w:asciiTheme="minorHAnsi" w:hAnsiTheme="minorHAnsi" w:cstheme="minorHAnsi"/>
          <w:sz w:val="22"/>
          <w:szCs w:val="22"/>
          <w:lang w:val="es-HN"/>
        </w:rPr>
      </w:pPr>
      <w:r w:rsidRPr="007A4E6B">
        <w:rPr>
          <w:rFonts w:asciiTheme="minorHAnsi" w:hAnsiTheme="minorHAnsi" w:cstheme="minorHAnsi"/>
          <w:sz w:val="22"/>
          <w:szCs w:val="22"/>
          <w:lang w:val="es-HN"/>
        </w:rPr>
        <w:t xml:space="preserve"> </w:t>
      </w:r>
    </w:p>
    <w:p w:rsidR="00B73ED2" w:rsidRPr="007A4E6B" w:rsidRDefault="00B73ED2" w:rsidP="00B73ED2">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El financiamiento para la realización del presente proceso proviene exclusivamente de fondos nacionales aprobados en el Presupuesto de esta Dirección del Estado de Honduras. La contratación se efectuará conforme a los procedimientos de Compras por Cotizaciones establecidos en la Ley de Contratación del Estado, su Reglamento y en las Disposiciones Generales de Presupuesto de La República, Ejercicio Fiscal 2019. Los Documentos para la Contratación de Obras Menores y sus anexos estarán disponibles en el portal de HonduCompras para su respectiva consulta en la fecha que se detalla en esta invitación, así mismo se entregaran en forma digital en la Unidad de Licitaciones de la DPR, teléfono 2235-7538, 2235-8129, a partir del día 28 de junio, hasta el día 11 de julio en un horario comprendido de 8:00 a.m. a 4:00 p.m., por lo que deberá traer consigo un Dispositivo de Almacenamiento para llevar dicha información.</w:t>
      </w:r>
    </w:p>
    <w:p w:rsidR="00B73ED2" w:rsidRPr="007A4E6B" w:rsidRDefault="00B73ED2" w:rsidP="00B73ED2">
      <w:pPr>
        <w:tabs>
          <w:tab w:val="left" w:pos="5895"/>
        </w:tabs>
        <w:jc w:val="both"/>
        <w:rPr>
          <w:rFonts w:asciiTheme="minorHAnsi" w:hAnsiTheme="minorHAnsi" w:cstheme="minorHAnsi"/>
          <w:sz w:val="22"/>
          <w:szCs w:val="22"/>
          <w:lang w:val="es-ES"/>
        </w:rPr>
      </w:pPr>
    </w:p>
    <w:p w:rsidR="007A4E6B" w:rsidRDefault="00B73ED2" w:rsidP="00B73ED2">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Las ofertas deberán ser entregadas en forma impresa en sobres sellados a la siguiente dirección: Colonia Miramontes, 1ra Avenida diagonal Delta, Casa 1526, Tegucigalpa, Francisco Morazán, Honduras a más tardar el día 11 de julio de 2019 a las 13:30 am. La apertura de las ofertas se hará en base a las disposiciones establecidas en los Documentos para la Contratación de Obras Menores, donde serán abiertas en presencia de las personas que asistan al acto y los funcionarios designad</w:t>
      </w:r>
      <w:r w:rsidR="007A4E6B">
        <w:rPr>
          <w:rFonts w:asciiTheme="minorHAnsi" w:hAnsiTheme="minorHAnsi" w:cstheme="minorHAnsi"/>
          <w:sz w:val="22"/>
          <w:szCs w:val="22"/>
          <w:lang w:val="es-ES"/>
        </w:rPr>
        <w:t>os por esta Dirección Nacional.</w:t>
      </w:r>
    </w:p>
    <w:p w:rsidR="007A4E6B" w:rsidRDefault="007A4E6B" w:rsidP="00B73ED2">
      <w:pPr>
        <w:tabs>
          <w:tab w:val="left" w:pos="5895"/>
        </w:tabs>
        <w:jc w:val="both"/>
        <w:rPr>
          <w:rFonts w:asciiTheme="minorHAnsi" w:hAnsiTheme="minorHAnsi" w:cstheme="minorHAnsi"/>
          <w:sz w:val="22"/>
          <w:szCs w:val="22"/>
          <w:lang w:val="es-ES"/>
        </w:rPr>
      </w:pPr>
    </w:p>
    <w:p w:rsidR="00B73ED2" w:rsidRPr="007A4E6B" w:rsidRDefault="00B73ED2" w:rsidP="00B73ED2">
      <w:pPr>
        <w:tabs>
          <w:tab w:val="left" w:pos="5895"/>
        </w:tabs>
        <w:jc w:val="both"/>
        <w:rPr>
          <w:rFonts w:asciiTheme="minorHAnsi" w:hAnsiTheme="minorHAnsi" w:cstheme="minorHAnsi"/>
          <w:sz w:val="22"/>
          <w:szCs w:val="22"/>
          <w:lang w:val="es-ES"/>
        </w:rPr>
      </w:pPr>
      <w:r w:rsidRPr="007A4E6B">
        <w:rPr>
          <w:rFonts w:asciiTheme="minorHAnsi" w:hAnsiTheme="minorHAnsi" w:cstheme="minorHAnsi"/>
          <w:sz w:val="22"/>
          <w:szCs w:val="22"/>
          <w:lang w:val="es-ES"/>
        </w:rPr>
        <w:t>Todas las ofertas deberán estar acompañadas de una Garantía de Mantenimiento de la oferta por un monto equivalente al menos del 2% del precio de la oferta.</w:t>
      </w:r>
    </w:p>
    <w:p w:rsidR="00B73ED2" w:rsidRPr="007A4E6B" w:rsidRDefault="00B73ED2" w:rsidP="00B73ED2">
      <w:pPr>
        <w:pStyle w:val="Prrafodelista"/>
        <w:tabs>
          <w:tab w:val="left" w:pos="5895"/>
        </w:tabs>
        <w:jc w:val="both"/>
        <w:rPr>
          <w:rFonts w:eastAsia="Times New Roman" w:cstheme="minorHAnsi"/>
          <w:lang w:val="es-ES"/>
        </w:rPr>
      </w:pPr>
    </w:p>
    <w:p w:rsidR="00B73ED2" w:rsidRPr="007A4E6B" w:rsidRDefault="00B73ED2" w:rsidP="007A4E6B">
      <w:pPr>
        <w:tabs>
          <w:tab w:val="left" w:pos="5895"/>
        </w:tabs>
        <w:rPr>
          <w:rFonts w:asciiTheme="minorHAnsi" w:hAnsiTheme="minorHAnsi" w:cstheme="minorHAnsi"/>
          <w:sz w:val="22"/>
          <w:szCs w:val="22"/>
          <w:lang w:val="es-ES"/>
        </w:rPr>
      </w:pPr>
      <w:r w:rsidRPr="007A4E6B">
        <w:rPr>
          <w:rFonts w:asciiTheme="minorHAnsi" w:hAnsiTheme="minorHAnsi" w:cstheme="minorHAnsi"/>
          <w:sz w:val="22"/>
          <w:szCs w:val="22"/>
          <w:lang w:val="es-ES"/>
        </w:rPr>
        <w:t xml:space="preserve">Tegucigalpa M. D. C., 28 de </w:t>
      </w:r>
      <w:r w:rsidR="007A4E6B" w:rsidRPr="007A4E6B">
        <w:rPr>
          <w:rFonts w:asciiTheme="minorHAnsi" w:hAnsiTheme="minorHAnsi" w:cstheme="minorHAnsi"/>
          <w:sz w:val="22"/>
          <w:szCs w:val="22"/>
          <w:lang w:val="es-ES"/>
        </w:rPr>
        <w:t>jun</w:t>
      </w:r>
      <w:r w:rsidRPr="007A4E6B">
        <w:rPr>
          <w:rFonts w:asciiTheme="minorHAnsi" w:hAnsiTheme="minorHAnsi" w:cstheme="minorHAnsi"/>
          <w:sz w:val="22"/>
          <w:szCs w:val="22"/>
          <w:lang w:val="es-ES"/>
        </w:rPr>
        <w:t>io del 2019.</w:t>
      </w:r>
    </w:p>
    <w:p w:rsidR="00B73ED2" w:rsidRPr="007A4E6B" w:rsidRDefault="00B73ED2" w:rsidP="00B73ED2">
      <w:pPr>
        <w:pStyle w:val="Prrafodelista"/>
        <w:tabs>
          <w:tab w:val="left" w:pos="5895"/>
        </w:tabs>
        <w:rPr>
          <w:rFonts w:eastAsia="Times New Roman" w:cstheme="minorHAnsi"/>
          <w:lang w:val="es-ES"/>
        </w:rPr>
      </w:pPr>
    </w:p>
    <w:p w:rsidR="00B73ED2" w:rsidRPr="007A4E6B" w:rsidRDefault="00B73ED2" w:rsidP="00B73ED2">
      <w:pPr>
        <w:spacing w:before="18" w:line="220" w:lineRule="exact"/>
        <w:rPr>
          <w:rFonts w:asciiTheme="minorHAnsi" w:hAnsiTheme="minorHAnsi" w:cstheme="minorHAnsi"/>
          <w:sz w:val="22"/>
          <w:szCs w:val="22"/>
          <w:lang w:val="es-HN"/>
        </w:rPr>
      </w:pPr>
    </w:p>
    <w:p w:rsidR="00B73ED2" w:rsidRPr="007A4E6B" w:rsidRDefault="00B73ED2" w:rsidP="00B73ED2">
      <w:pPr>
        <w:spacing w:before="18" w:line="220" w:lineRule="exact"/>
        <w:rPr>
          <w:rFonts w:asciiTheme="minorHAnsi" w:hAnsiTheme="minorHAnsi" w:cstheme="minorHAnsi"/>
          <w:sz w:val="22"/>
          <w:szCs w:val="22"/>
          <w:lang w:val="es-HN"/>
        </w:rPr>
      </w:pPr>
    </w:p>
    <w:p w:rsidR="00B73ED2" w:rsidRPr="007A4E6B" w:rsidRDefault="00B73ED2" w:rsidP="00B73ED2">
      <w:pPr>
        <w:jc w:val="center"/>
        <w:rPr>
          <w:rFonts w:asciiTheme="minorHAnsi" w:hAnsiTheme="minorHAnsi" w:cstheme="minorHAnsi"/>
          <w:b/>
          <w:i/>
          <w:sz w:val="22"/>
          <w:szCs w:val="22"/>
          <w:lang w:val="es-ES"/>
        </w:rPr>
      </w:pPr>
      <w:r w:rsidRPr="007A4E6B">
        <w:rPr>
          <w:rFonts w:asciiTheme="minorHAnsi" w:hAnsiTheme="minorHAnsi" w:cstheme="minorHAnsi"/>
          <w:b/>
          <w:i/>
          <w:sz w:val="22"/>
          <w:szCs w:val="22"/>
          <w:lang w:val="es-ES"/>
        </w:rPr>
        <w:t>Max Alejandro Gonzales Sabillon</w:t>
      </w:r>
    </w:p>
    <w:p w:rsidR="00B73ED2" w:rsidRPr="007A4E6B" w:rsidRDefault="00B73ED2" w:rsidP="00B73ED2">
      <w:pPr>
        <w:jc w:val="center"/>
        <w:rPr>
          <w:rFonts w:asciiTheme="minorHAnsi" w:hAnsiTheme="minorHAnsi" w:cstheme="minorHAnsi"/>
          <w:b/>
          <w:i/>
          <w:sz w:val="22"/>
          <w:szCs w:val="22"/>
          <w:lang w:val="es-ES"/>
        </w:rPr>
      </w:pPr>
      <w:r w:rsidRPr="007A4E6B">
        <w:rPr>
          <w:rFonts w:asciiTheme="minorHAnsi" w:hAnsiTheme="minorHAnsi" w:cstheme="minorHAnsi"/>
          <w:b/>
          <w:i/>
          <w:sz w:val="22"/>
          <w:szCs w:val="22"/>
          <w:lang w:val="es-ES"/>
        </w:rPr>
        <w:t>Director Nacional</w:t>
      </w:r>
    </w:p>
    <w:p w:rsidR="00B675AA" w:rsidRDefault="00B675AA"/>
    <w:sectPr w:rsidR="00B675AA">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277" w:rsidRDefault="004D4277" w:rsidP="00B73ED2">
      <w:r>
        <w:separator/>
      </w:r>
    </w:p>
  </w:endnote>
  <w:endnote w:type="continuationSeparator" w:id="0">
    <w:p w:rsidR="004D4277" w:rsidRDefault="004D4277" w:rsidP="00B7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ED2" w:rsidRPr="00B73ED2" w:rsidRDefault="00B73ED2" w:rsidP="00B73ED2">
    <w:pPr>
      <w:tabs>
        <w:tab w:val="center" w:pos="4419"/>
        <w:tab w:val="right" w:pos="8838"/>
      </w:tabs>
      <w:jc w:val="center"/>
    </w:pPr>
  </w:p>
  <w:p w:rsidR="00B73ED2" w:rsidRPr="00B73ED2" w:rsidRDefault="00B73ED2" w:rsidP="00B73ED2"/>
  <w:p w:rsidR="00B73ED2" w:rsidRPr="00B73ED2" w:rsidRDefault="00B73ED2" w:rsidP="00B73ED2">
    <w:pPr>
      <w:tabs>
        <w:tab w:val="center" w:pos="4419"/>
        <w:tab w:val="right" w:pos="8838"/>
      </w:tabs>
    </w:pPr>
  </w:p>
  <w:p w:rsidR="00B73ED2" w:rsidRPr="00B73ED2" w:rsidRDefault="00B73ED2" w:rsidP="00B73ED2"/>
  <w:p w:rsidR="00B73ED2" w:rsidRPr="00B73ED2" w:rsidRDefault="00B73ED2" w:rsidP="00B73ED2">
    <w:pPr>
      <w:tabs>
        <w:tab w:val="center" w:pos="4419"/>
        <w:tab w:val="right" w:pos="8838"/>
      </w:tabs>
      <w:jc w:val="center"/>
      <w:rPr>
        <w:rFonts w:ascii="Arial" w:hAnsi="Arial" w:cs="Arial"/>
        <w:sz w:val="18"/>
        <w:lang w:val="es-HN"/>
      </w:rPr>
    </w:pPr>
    <w:r w:rsidRPr="00B73ED2">
      <w:rPr>
        <w:noProof/>
        <w:lang w:val="es-HN" w:eastAsia="es-HN"/>
      </w:rPr>
      <mc:AlternateContent>
        <mc:Choice Requires="wps">
          <w:drawing>
            <wp:anchor distT="4294967294" distB="4294967294" distL="114300" distR="114300" simplePos="0" relativeHeight="251659264" behindDoc="0" locked="0" layoutInCell="1" allowOverlap="1" wp14:anchorId="21907503" wp14:editId="3DE5ABB0">
              <wp:simplePos x="0" y="0"/>
              <wp:positionH relativeFrom="column">
                <wp:posOffset>-289560</wp:posOffset>
              </wp:positionH>
              <wp:positionV relativeFrom="paragraph">
                <wp:posOffset>-1270</wp:posOffset>
              </wp:positionV>
              <wp:extent cx="6365240" cy="0"/>
              <wp:effectExtent l="0" t="0" r="35560"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65240" cy="0"/>
                      </a:xfrm>
                      <a:prstGeom prst="line">
                        <a:avLst/>
                      </a:prstGeom>
                      <a:noFill/>
                      <a:ln w="9525"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1C3E23" id="Conector recto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8pt,-.1pt" to="478.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" strokecolor="#5b9bd5">
              <v:stroke joinstyle="miter"/>
              <o:lock v:ext="edit" shapetype="f"/>
            </v:line>
          </w:pict>
        </mc:Fallback>
      </mc:AlternateContent>
    </w:r>
    <w:r w:rsidRPr="00B73ED2">
      <w:rPr>
        <w:rFonts w:ascii="Arial" w:hAnsi="Arial" w:cs="Arial"/>
        <w:noProof/>
        <w:sz w:val="18"/>
        <w:lang w:val="es-HN" w:eastAsia="es-HN"/>
      </w:rPr>
      <w:t>Colonia Altos de Miramontes, 1er Avenidad diagonal Delta Casa 1526</w:t>
    </w:r>
    <w:r w:rsidRPr="00B73ED2">
      <w:rPr>
        <w:rFonts w:ascii="Arial" w:hAnsi="Arial" w:cs="Arial"/>
        <w:sz w:val="18"/>
        <w:lang w:val="es-HN"/>
      </w:rPr>
      <w:t xml:space="preserve">, Tegucigalpa, Honduras </w:t>
    </w:r>
  </w:p>
  <w:p w:rsidR="00B73ED2" w:rsidRPr="00B73ED2" w:rsidRDefault="00B73ED2" w:rsidP="00B73ED2">
    <w:pPr>
      <w:tabs>
        <w:tab w:val="center" w:pos="4419"/>
        <w:tab w:val="right" w:pos="8838"/>
      </w:tabs>
      <w:jc w:val="center"/>
      <w:rPr>
        <w:rFonts w:ascii="Arial" w:hAnsi="Arial" w:cs="Arial"/>
        <w:sz w:val="18"/>
        <w:szCs w:val="22"/>
      </w:rPr>
    </w:pPr>
    <w:r w:rsidRPr="00B73ED2">
      <w:rPr>
        <w:rFonts w:ascii="Arial" w:hAnsi="Arial" w:cs="Arial"/>
        <w:sz w:val="18"/>
      </w:rPr>
      <w:t>Tel.: (504) 2203-4245, 2235-7538, 2235-8129</w:t>
    </w:r>
  </w:p>
  <w:p w:rsidR="00B73ED2" w:rsidRDefault="00B73ED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277" w:rsidRDefault="004D4277" w:rsidP="00B73ED2">
      <w:r>
        <w:separator/>
      </w:r>
    </w:p>
  </w:footnote>
  <w:footnote w:type="continuationSeparator" w:id="0">
    <w:p w:rsidR="004D4277" w:rsidRDefault="004D4277" w:rsidP="00B73E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ED2" w:rsidRDefault="00B73ED2" w:rsidP="00B73ED2">
    <w:pPr>
      <w:pStyle w:val="Encabezado"/>
      <w:jc w:val="center"/>
    </w:pPr>
    <w:r>
      <w:rPr>
        <w:noProof/>
        <w:lang w:val="es-HN" w:eastAsia="es-HN"/>
      </w:rPr>
      <w:drawing>
        <wp:inline distT="0" distB="0" distL="0" distR="0" wp14:anchorId="5CDFCBD1" wp14:editId="109B007F">
          <wp:extent cx="3015615" cy="751840"/>
          <wp:effectExtent l="0" t="0" r="0" b="0"/>
          <wp:docPr id="4" name="Imagen 4"/>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015615" cy="7518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C5B2F"/>
    <w:multiLevelType w:val="hybridMultilevel"/>
    <w:tmpl w:val="DCB25A7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2F4E72B9"/>
    <w:multiLevelType w:val="hybridMultilevel"/>
    <w:tmpl w:val="FE04A8B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ED2"/>
    <w:rsid w:val="004D4277"/>
    <w:rsid w:val="007A4E6B"/>
    <w:rsid w:val="00B675AA"/>
    <w:rsid w:val="00B73ED2"/>
    <w:rsid w:val="00FE1FE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BE558E-9910-4E86-9D3E-CD4B9FE14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ED2"/>
    <w:pPr>
      <w:spacing w:after="0" w:line="240" w:lineRule="auto"/>
    </w:pPr>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3ED2"/>
    <w:pPr>
      <w:spacing w:after="160" w:line="259" w:lineRule="auto"/>
      <w:ind w:left="720"/>
      <w:contextualSpacing/>
    </w:pPr>
    <w:rPr>
      <w:rFonts w:asciiTheme="minorHAnsi" w:eastAsiaTheme="minorHAnsi" w:hAnsiTheme="minorHAnsi" w:cstheme="minorBidi"/>
      <w:sz w:val="22"/>
      <w:szCs w:val="22"/>
      <w:lang w:val="es-HN"/>
    </w:rPr>
  </w:style>
  <w:style w:type="paragraph" w:styleId="Encabezado">
    <w:name w:val="header"/>
    <w:basedOn w:val="Normal"/>
    <w:link w:val="EncabezadoCar"/>
    <w:uiPriority w:val="99"/>
    <w:unhideWhenUsed/>
    <w:rsid w:val="00B73ED2"/>
    <w:pPr>
      <w:tabs>
        <w:tab w:val="center" w:pos="4252"/>
        <w:tab w:val="right" w:pos="8504"/>
      </w:tabs>
    </w:pPr>
  </w:style>
  <w:style w:type="character" w:customStyle="1" w:styleId="EncabezadoCar">
    <w:name w:val="Encabezado Car"/>
    <w:basedOn w:val="Fuentedeprrafopredeter"/>
    <w:link w:val="Encabezado"/>
    <w:uiPriority w:val="99"/>
    <w:rsid w:val="00B73ED2"/>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B73ED2"/>
    <w:pPr>
      <w:tabs>
        <w:tab w:val="center" w:pos="4252"/>
        <w:tab w:val="right" w:pos="8504"/>
      </w:tabs>
    </w:pPr>
  </w:style>
  <w:style w:type="character" w:customStyle="1" w:styleId="PiedepginaCar">
    <w:name w:val="Pie de página Car"/>
    <w:basedOn w:val="Fuentedeprrafopredeter"/>
    <w:link w:val="Piedepgina"/>
    <w:uiPriority w:val="99"/>
    <w:rsid w:val="00B73ED2"/>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341</Words>
  <Characters>1877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Castellanos Sabillon</dc:creator>
  <cp:keywords/>
  <dc:description/>
  <cp:lastModifiedBy>Luis Fernando Castellanos Sabillon</cp:lastModifiedBy>
  <cp:revision>3</cp:revision>
  <dcterms:created xsi:type="dcterms:W3CDTF">2019-06-28T21:13:00Z</dcterms:created>
  <dcterms:modified xsi:type="dcterms:W3CDTF">2019-06-28T21:25:00Z</dcterms:modified>
</cp:coreProperties>
</file>