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D2" w:rsidRPr="0077480F" w:rsidRDefault="001012D2" w:rsidP="00D71B27">
      <w:pPr>
        <w:spacing w:line="240" w:lineRule="auto"/>
        <w:contextualSpacing/>
        <w:jc w:val="center"/>
        <w:rPr>
          <w:rFonts w:eastAsiaTheme="minorHAnsi"/>
          <w:b/>
          <w:sz w:val="24"/>
          <w:szCs w:val="24"/>
          <w:lang w:val="es-MX"/>
        </w:rPr>
      </w:pPr>
      <w:bookmarkStart w:id="0" w:name="_GoBack"/>
      <w:bookmarkEnd w:id="0"/>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745022">
        <w:rPr>
          <w:rFonts w:eastAsiaTheme="minorHAnsi"/>
          <w:b/>
          <w:sz w:val="24"/>
          <w:szCs w:val="24"/>
          <w:lang w:val="es-MX"/>
        </w:rPr>
        <w:t>1</w:t>
      </w:r>
      <w:r w:rsidRPr="0077480F">
        <w:rPr>
          <w:rFonts w:eastAsiaTheme="minorHAnsi"/>
          <w:b/>
          <w:sz w:val="24"/>
          <w:szCs w:val="24"/>
          <w:lang w:val="es-MX"/>
        </w:rPr>
        <w:t>-2015</w:t>
      </w:r>
    </w:p>
    <w:p w:rsidR="00D71B27" w:rsidRPr="00345DBE" w:rsidRDefault="00D71B27" w:rsidP="00D71B27">
      <w:pPr>
        <w:spacing w:line="240" w:lineRule="auto"/>
        <w:contextualSpacing/>
        <w:jc w:val="center"/>
        <w:rPr>
          <w:rFonts w:eastAsiaTheme="minorHAnsi"/>
          <w:b/>
          <w:sz w:val="10"/>
          <w:szCs w:val="32"/>
          <w:lang w:val="es-MX"/>
        </w:rPr>
      </w:pPr>
    </w:p>
    <w:p w:rsidR="00E5312D" w:rsidRPr="00E5312D" w:rsidRDefault="00E5312D" w:rsidP="00D71B27">
      <w:pPr>
        <w:spacing w:line="240" w:lineRule="auto"/>
        <w:contextualSpacing/>
        <w:jc w:val="center"/>
        <w:rPr>
          <w:b/>
          <w:bCs/>
          <w:iCs/>
          <w:szCs w:val="18"/>
          <w:lang w:val="es-HN"/>
        </w:rPr>
      </w:pPr>
      <w:r w:rsidRPr="00E5312D">
        <w:rPr>
          <w:b/>
          <w:bCs/>
          <w:iCs/>
          <w:szCs w:val="18"/>
          <w:lang w:val="es-HN"/>
        </w:rPr>
        <w:t>CONSTRUCCIÓN DE PROYECTO DE ELECTRIFICACIÓN RURAL POR EXTENSIÓN DE RED, UBICADO EN LAS COMUNIDADES DE “LAS VEGUITAS O AGUA SUCIA Y TECOMAPA”, MUNICIPIO DE COLOLACA (COD. 105380), DEPARTAMENTO DE LEMPIRA</w:t>
      </w:r>
    </w:p>
    <w:p w:rsidR="00E5312D" w:rsidRPr="00345DBE" w:rsidRDefault="00E5312D" w:rsidP="00D71B27">
      <w:pPr>
        <w:spacing w:line="240" w:lineRule="auto"/>
        <w:contextualSpacing/>
        <w:jc w:val="center"/>
        <w:rPr>
          <w:rFonts w:cstheme="minorHAnsi"/>
          <w:b/>
          <w:sz w:val="14"/>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w:t>
      </w:r>
      <w:r w:rsidR="005E23DE">
        <w:rPr>
          <w:rFonts w:eastAsiaTheme="minorHAnsi"/>
          <w:b/>
          <w:lang w:val="es-MX"/>
        </w:rPr>
        <w:t>1</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5E23DE" w:rsidRPr="00E5312D">
        <w:rPr>
          <w:b/>
          <w:bCs/>
          <w:iCs/>
          <w:szCs w:val="18"/>
          <w:lang w:val="es-HN"/>
        </w:rPr>
        <w:t>CONSTRUCCIÓN DE PROYECTO DE ELECTRIFICACIÓN RURAL POR EXTENSIÓN DE RED, UBICADO EN LAS COMUNIDADES DE “LAS VEGUITAS O AGUA SUCIA Y TECOMAPA”, MUNICIPIO DE COLOLACA (COD. 105380),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00947A18" w:rsidRPr="002611C0">
        <w:rPr>
          <w:rFonts w:eastAsiaTheme="minorHAnsi"/>
          <w:lang w:val="es-MX"/>
        </w:rPr>
        <w:t xml:space="preserve"> </w:t>
      </w:r>
      <w:r w:rsidR="00806722" w:rsidRPr="000F7144">
        <w:rPr>
          <w:rFonts w:eastAsiaTheme="minorHAnsi"/>
          <w:lang w:val="es-MX"/>
        </w:rPr>
        <w:t>comprende una extensión de línea de 7.494 km, se hará el hincado de 104 postes de madera, se instalaran 53 lámparas de 100w, y se ha proyectado en los estudios finales la instalación del 132.5 KVA en transformadores de 34.5KV/240v/120v con una proyección a 15 años para servicio a los</w:t>
      </w:r>
      <w:r w:rsidR="00806722">
        <w:rPr>
          <w:rFonts w:eastAsiaTheme="minorHAnsi"/>
          <w:lang w:val="es-MX"/>
        </w:rPr>
        <w:t xml:space="preserve">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Pr="00345DBE" w:rsidRDefault="001012D2" w:rsidP="00D71B27">
      <w:pPr>
        <w:keepNext/>
        <w:spacing w:after="120" w:line="240" w:lineRule="auto"/>
        <w:ind w:left="142"/>
        <w:jc w:val="center"/>
        <w:outlineLvl w:val="1"/>
        <w:rPr>
          <w:rFonts w:ascii="Calibri" w:hAnsi="Calibri" w:cs="Calibri"/>
          <w:b/>
          <w:sz w:val="4"/>
          <w:szCs w:val="16"/>
          <w:lang w:val="es-MX"/>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9919" w:type="dxa"/>
        <w:tblInd w:w="-110"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545"/>
        <w:gridCol w:w="1329"/>
        <w:gridCol w:w="1286"/>
        <w:gridCol w:w="1548"/>
        <w:gridCol w:w="1197"/>
        <w:gridCol w:w="1624"/>
        <w:gridCol w:w="1390"/>
      </w:tblGrid>
      <w:tr w:rsidR="00406DCD" w:rsidRPr="00406DCD" w:rsidTr="002F22B7">
        <w:trPr>
          <w:trHeight w:val="1007"/>
        </w:trPr>
        <w:tc>
          <w:tcPr>
            <w:tcW w:w="1545"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329"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86"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4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97"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2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90"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F40FAC" w:rsidRPr="00406DCD" w:rsidTr="002F22B7">
        <w:trPr>
          <w:trHeight w:val="406"/>
        </w:trPr>
        <w:tc>
          <w:tcPr>
            <w:tcW w:w="1545" w:type="dxa"/>
            <w:shd w:val="clear" w:color="auto" w:fill="auto"/>
            <w:vAlign w:val="center"/>
          </w:tcPr>
          <w:p w:rsidR="00F40FAC" w:rsidRPr="000656DB" w:rsidRDefault="00F40FAC" w:rsidP="00F40FAC">
            <w:pPr>
              <w:spacing w:line="240" w:lineRule="auto"/>
              <w:jc w:val="both"/>
              <w:rPr>
                <w:sz w:val="16"/>
                <w:szCs w:val="16"/>
                <w:lang w:val="es-ES_tradnl"/>
              </w:rPr>
            </w:pPr>
            <w:r w:rsidRPr="000656DB">
              <w:rPr>
                <w:sz w:val="16"/>
                <w:szCs w:val="16"/>
                <w:lang w:val="es-ES_tradnl"/>
              </w:rPr>
              <w:t>Diseños Eléctricos Comerciales, S. de R.L. de C.V.</w:t>
            </w:r>
          </w:p>
        </w:tc>
        <w:tc>
          <w:tcPr>
            <w:tcW w:w="1329"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286"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548"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197"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624"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390" w:type="dxa"/>
            <w:shd w:val="clear" w:color="auto" w:fill="auto"/>
            <w:vAlign w:val="center"/>
          </w:tcPr>
          <w:p w:rsidR="00F40FAC" w:rsidRPr="000656DB" w:rsidRDefault="00F40FAC" w:rsidP="00F40FAC">
            <w:pPr>
              <w:spacing w:line="240" w:lineRule="auto"/>
              <w:jc w:val="center"/>
              <w:rPr>
                <w:b/>
                <w:bCs/>
                <w:sz w:val="16"/>
                <w:szCs w:val="16"/>
                <w:lang w:val="es-ES_tradnl"/>
              </w:rPr>
            </w:pPr>
            <w:r w:rsidRPr="000656DB">
              <w:rPr>
                <w:b/>
                <w:bCs/>
                <w:color w:val="1F497D" w:themeColor="text2"/>
                <w:sz w:val="16"/>
                <w:szCs w:val="16"/>
                <w:lang w:val="es-ES_tradnl"/>
              </w:rPr>
              <w:t>SI</w:t>
            </w:r>
          </w:p>
        </w:tc>
      </w:tr>
      <w:tr w:rsidR="00F40FAC" w:rsidRPr="00406DCD" w:rsidTr="002F22B7">
        <w:trPr>
          <w:trHeight w:val="284"/>
        </w:trPr>
        <w:tc>
          <w:tcPr>
            <w:tcW w:w="1545" w:type="dxa"/>
            <w:shd w:val="clear" w:color="auto" w:fill="auto"/>
            <w:vAlign w:val="center"/>
          </w:tcPr>
          <w:p w:rsidR="00F40FAC" w:rsidRPr="000656DB" w:rsidRDefault="00F40FAC" w:rsidP="00F40FAC">
            <w:pPr>
              <w:spacing w:line="240" w:lineRule="auto"/>
              <w:jc w:val="both"/>
              <w:rPr>
                <w:sz w:val="16"/>
                <w:szCs w:val="16"/>
                <w:lang w:val="es-ES_tradnl"/>
              </w:rPr>
            </w:pPr>
            <w:r w:rsidRPr="000656DB">
              <w:rPr>
                <w:sz w:val="16"/>
                <w:szCs w:val="16"/>
                <w:lang w:val="es-ES_tradnl"/>
              </w:rPr>
              <w:t>Electrificadora de Honduras, S.A. de C.V.</w:t>
            </w:r>
          </w:p>
        </w:tc>
        <w:tc>
          <w:tcPr>
            <w:tcW w:w="1329"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286"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548"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197"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624"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390" w:type="dxa"/>
            <w:shd w:val="clear" w:color="auto" w:fill="auto"/>
            <w:vAlign w:val="center"/>
          </w:tcPr>
          <w:p w:rsidR="00F40FAC" w:rsidRPr="000656DB" w:rsidRDefault="00F40FAC" w:rsidP="00F40FAC">
            <w:pPr>
              <w:spacing w:line="240" w:lineRule="auto"/>
              <w:jc w:val="center"/>
              <w:rPr>
                <w:b/>
                <w:bCs/>
                <w:sz w:val="16"/>
                <w:szCs w:val="16"/>
                <w:lang w:val="es-ES_tradnl"/>
              </w:rPr>
            </w:pPr>
            <w:r w:rsidRPr="000656DB">
              <w:rPr>
                <w:b/>
                <w:bCs/>
                <w:color w:val="1F497D" w:themeColor="text2"/>
                <w:sz w:val="16"/>
                <w:szCs w:val="16"/>
                <w:lang w:val="es-ES_tradnl"/>
              </w:rPr>
              <w:t>SI</w:t>
            </w:r>
          </w:p>
        </w:tc>
      </w:tr>
      <w:tr w:rsidR="00F40FAC" w:rsidRPr="00406DCD" w:rsidTr="002F22B7">
        <w:trPr>
          <w:trHeight w:val="186"/>
        </w:trPr>
        <w:tc>
          <w:tcPr>
            <w:tcW w:w="1545" w:type="dxa"/>
            <w:shd w:val="clear" w:color="auto" w:fill="auto"/>
            <w:vAlign w:val="center"/>
          </w:tcPr>
          <w:p w:rsidR="00F40FAC" w:rsidRPr="000656DB" w:rsidRDefault="00F40FAC" w:rsidP="00F40FAC">
            <w:pPr>
              <w:spacing w:line="240" w:lineRule="auto"/>
              <w:jc w:val="both"/>
              <w:rPr>
                <w:sz w:val="16"/>
                <w:szCs w:val="16"/>
                <w:lang w:val="es-HN"/>
              </w:rPr>
            </w:pPr>
            <w:r w:rsidRPr="000656DB">
              <w:rPr>
                <w:sz w:val="16"/>
                <w:szCs w:val="16"/>
                <w:lang w:val="es-HN"/>
              </w:rPr>
              <w:t>Ingeniería CODIMEL, S.DE R.L. DE C.V.</w:t>
            </w:r>
          </w:p>
        </w:tc>
        <w:tc>
          <w:tcPr>
            <w:tcW w:w="1329"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NO</w:t>
            </w:r>
            <w:r w:rsidRPr="000656DB">
              <w:rPr>
                <w:rStyle w:val="Refdenotaalpie"/>
                <w:sz w:val="16"/>
                <w:szCs w:val="16"/>
                <w:lang w:val="es-ES_tradnl"/>
              </w:rPr>
              <w:footnoteReference w:id="1"/>
            </w:r>
          </w:p>
        </w:tc>
        <w:tc>
          <w:tcPr>
            <w:tcW w:w="1286"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SI</w:t>
            </w:r>
          </w:p>
        </w:tc>
        <w:tc>
          <w:tcPr>
            <w:tcW w:w="1548"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color w:val="FF0000"/>
                <w:sz w:val="16"/>
                <w:szCs w:val="16"/>
                <w:lang w:val="es-ES_tradnl"/>
              </w:rPr>
              <w:t>NO</w:t>
            </w:r>
          </w:p>
        </w:tc>
        <w:tc>
          <w:tcPr>
            <w:tcW w:w="1197"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NO</w:t>
            </w:r>
          </w:p>
        </w:tc>
        <w:tc>
          <w:tcPr>
            <w:tcW w:w="1624" w:type="dxa"/>
            <w:shd w:val="clear" w:color="auto" w:fill="auto"/>
            <w:vAlign w:val="center"/>
          </w:tcPr>
          <w:p w:rsidR="00F40FAC" w:rsidRPr="000656DB" w:rsidRDefault="00F40FAC" w:rsidP="00F40FAC">
            <w:pPr>
              <w:spacing w:line="240" w:lineRule="auto"/>
              <w:jc w:val="center"/>
              <w:rPr>
                <w:sz w:val="16"/>
                <w:szCs w:val="16"/>
                <w:lang w:val="es-ES_tradnl"/>
              </w:rPr>
            </w:pPr>
            <w:r w:rsidRPr="000656DB">
              <w:rPr>
                <w:sz w:val="16"/>
                <w:szCs w:val="16"/>
                <w:lang w:val="es-ES_tradnl"/>
              </w:rPr>
              <w:t>NO</w:t>
            </w:r>
          </w:p>
        </w:tc>
        <w:tc>
          <w:tcPr>
            <w:tcW w:w="1390" w:type="dxa"/>
            <w:shd w:val="clear" w:color="auto" w:fill="auto"/>
            <w:vAlign w:val="center"/>
          </w:tcPr>
          <w:p w:rsidR="00F40FAC" w:rsidRPr="000656DB" w:rsidRDefault="00F40FAC" w:rsidP="00F40FAC">
            <w:pPr>
              <w:spacing w:line="240" w:lineRule="auto"/>
              <w:jc w:val="center"/>
              <w:rPr>
                <w:bCs/>
                <w:sz w:val="16"/>
                <w:szCs w:val="16"/>
                <w:lang w:val="es-ES_tradnl"/>
              </w:rPr>
            </w:pPr>
            <w:r w:rsidRPr="000656DB">
              <w:rPr>
                <w:bCs/>
                <w:color w:val="FF0000"/>
                <w:sz w:val="16"/>
                <w:szCs w:val="16"/>
                <w:lang w:val="es-ES_tradnl"/>
              </w:rPr>
              <w:t>NO</w:t>
            </w:r>
          </w:p>
        </w:tc>
      </w:tr>
    </w:tbl>
    <w:p w:rsidR="00992F0D" w:rsidRDefault="00992F0D" w:rsidP="00992F0D">
      <w:pPr>
        <w:pStyle w:val="Prrafodelista"/>
        <w:spacing w:after="0" w:line="240" w:lineRule="auto"/>
        <w:ind w:left="502"/>
        <w:jc w:val="both"/>
        <w:rPr>
          <w:rFonts w:eastAsiaTheme="minorHAnsi"/>
          <w:lang w:val="es-MX"/>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Pr="009513BF" w:rsidRDefault="001012D2" w:rsidP="001012D2">
      <w:pPr>
        <w:keepNext/>
        <w:spacing w:after="120"/>
        <w:ind w:left="142"/>
        <w:jc w:val="center"/>
        <w:outlineLvl w:val="1"/>
        <w:rPr>
          <w:rFonts w:ascii="Calibri" w:hAnsi="Calibri" w:cs="Calibri"/>
          <w:b/>
          <w:sz w:val="8"/>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594" w:type="dxa"/>
        <w:jc w:val="center"/>
        <w:tblInd w:w="-1426" w:type="dxa"/>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096"/>
        <w:gridCol w:w="1080"/>
        <w:gridCol w:w="1308"/>
        <w:gridCol w:w="1032"/>
        <w:gridCol w:w="1038"/>
        <w:gridCol w:w="1350"/>
        <w:gridCol w:w="900"/>
        <w:gridCol w:w="1170"/>
        <w:gridCol w:w="1620"/>
      </w:tblGrid>
      <w:tr w:rsidR="000130C3" w:rsidRPr="004C0528" w:rsidTr="00C626B2">
        <w:trPr>
          <w:trHeight w:val="758"/>
          <w:jc w:val="center"/>
        </w:trPr>
        <w:tc>
          <w:tcPr>
            <w:tcW w:w="2096" w:type="dxa"/>
            <w:shd w:val="clear" w:color="auto" w:fill="F2DBDB" w:themeFill="accent2" w:themeFillTint="33"/>
            <w:vAlign w:val="center"/>
          </w:tcPr>
          <w:p w:rsidR="000130C3" w:rsidRPr="000130C3" w:rsidRDefault="000130C3" w:rsidP="00491153">
            <w:pPr>
              <w:jc w:val="center"/>
              <w:rPr>
                <w:b/>
                <w:bCs/>
                <w:sz w:val="18"/>
                <w:lang w:val="es-ES_tradnl"/>
              </w:rPr>
            </w:pPr>
            <w:r w:rsidRPr="000130C3">
              <w:rPr>
                <w:b/>
                <w:bCs/>
                <w:sz w:val="18"/>
                <w:lang w:val="es-ES_tradnl"/>
              </w:rPr>
              <w:t>DATOS</w:t>
            </w:r>
          </w:p>
        </w:tc>
        <w:tc>
          <w:tcPr>
            <w:tcW w:w="2388" w:type="dxa"/>
            <w:gridSpan w:val="2"/>
            <w:shd w:val="clear" w:color="auto" w:fill="F2DBDB" w:themeFill="accent2" w:themeFillTint="33"/>
            <w:vAlign w:val="center"/>
          </w:tcPr>
          <w:p w:rsidR="000130C3" w:rsidRPr="000130C3" w:rsidRDefault="000130C3" w:rsidP="00491153">
            <w:pPr>
              <w:jc w:val="center"/>
              <w:rPr>
                <w:b/>
                <w:sz w:val="18"/>
                <w:lang w:val="es-ES_tradnl"/>
              </w:rPr>
            </w:pPr>
            <w:r w:rsidRPr="000130C3">
              <w:rPr>
                <w:b/>
                <w:sz w:val="18"/>
                <w:lang w:val="es-ES_tradnl"/>
              </w:rPr>
              <w:t>PRECIO(S) LEÍDO(S) EN VOZ ALTA</w:t>
            </w:r>
          </w:p>
        </w:tc>
        <w:tc>
          <w:tcPr>
            <w:tcW w:w="2070" w:type="dxa"/>
            <w:gridSpan w:val="2"/>
            <w:shd w:val="clear" w:color="auto" w:fill="F2DBDB" w:themeFill="accent2" w:themeFillTint="33"/>
            <w:vAlign w:val="center"/>
          </w:tcPr>
          <w:p w:rsidR="000130C3" w:rsidRPr="000130C3" w:rsidRDefault="000130C3" w:rsidP="00491153">
            <w:pPr>
              <w:jc w:val="center"/>
              <w:rPr>
                <w:b/>
                <w:sz w:val="18"/>
                <w:lang w:val="es-ES_tradnl"/>
              </w:rPr>
            </w:pPr>
            <w:r w:rsidRPr="000130C3">
              <w:rPr>
                <w:b/>
                <w:sz w:val="18"/>
                <w:lang w:val="es-ES_tradnl"/>
              </w:rPr>
              <w:t>CORRECCIONES</w:t>
            </w:r>
          </w:p>
        </w:tc>
        <w:tc>
          <w:tcPr>
            <w:tcW w:w="3420" w:type="dxa"/>
            <w:gridSpan w:val="3"/>
            <w:shd w:val="clear" w:color="auto" w:fill="F2DBDB" w:themeFill="accent2" w:themeFillTint="33"/>
            <w:vAlign w:val="center"/>
          </w:tcPr>
          <w:p w:rsidR="000130C3" w:rsidRPr="000130C3" w:rsidRDefault="000130C3" w:rsidP="00491153">
            <w:pPr>
              <w:jc w:val="center"/>
              <w:rPr>
                <w:b/>
                <w:sz w:val="18"/>
                <w:u w:val="single"/>
                <w:lang w:val="es-ES_tradnl"/>
              </w:rPr>
            </w:pPr>
            <w:r w:rsidRPr="000130C3">
              <w:rPr>
                <w:b/>
                <w:sz w:val="18"/>
                <w:lang w:val="es-ES_tradnl"/>
              </w:rPr>
              <w:t>DESCUENTOS NO CONDICIONADOS</w:t>
            </w:r>
          </w:p>
        </w:tc>
        <w:tc>
          <w:tcPr>
            <w:tcW w:w="1620" w:type="dxa"/>
            <w:shd w:val="clear" w:color="auto" w:fill="F2DBDB" w:themeFill="accent2" w:themeFillTint="33"/>
            <w:vAlign w:val="center"/>
          </w:tcPr>
          <w:p w:rsidR="000130C3" w:rsidRPr="000130C3" w:rsidRDefault="000130C3" w:rsidP="00491153">
            <w:pPr>
              <w:jc w:val="center"/>
              <w:rPr>
                <w:b/>
                <w:sz w:val="18"/>
                <w:lang w:val="es-ES_tradnl"/>
              </w:rPr>
            </w:pPr>
            <w:r w:rsidRPr="000130C3">
              <w:rPr>
                <w:b/>
                <w:sz w:val="18"/>
                <w:lang w:val="es-ES_tradnl"/>
              </w:rPr>
              <w:t>PRECIO  FINAL</w:t>
            </w:r>
          </w:p>
        </w:tc>
      </w:tr>
      <w:tr w:rsidR="000130C3" w:rsidRPr="004C0528" w:rsidTr="00C626B2">
        <w:trPr>
          <w:trHeight w:val="1351"/>
          <w:jc w:val="center"/>
        </w:trPr>
        <w:tc>
          <w:tcPr>
            <w:tcW w:w="2096"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LICITANTE</w:t>
            </w:r>
          </w:p>
          <w:p w:rsidR="000130C3" w:rsidRPr="000130C3" w:rsidRDefault="000130C3" w:rsidP="00491153">
            <w:pPr>
              <w:jc w:val="center"/>
              <w:rPr>
                <w:sz w:val="16"/>
                <w:szCs w:val="18"/>
                <w:lang w:val="es-ES_tradnl"/>
              </w:rPr>
            </w:pPr>
            <w:r w:rsidRPr="000130C3">
              <w:rPr>
                <w:sz w:val="16"/>
                <w:szCs w:val="18"/>
                <w:lang w:val="es-ES_tradnl"/>
              </w:rPr>
              <w:t>A)</w:t>
            </w:r>
          </w:p>
        </w:tc>
        <w:tc>
          <w:tcPr>
            <w:tcW w:w="1080"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MONEDA(S)</w:t>
            </w:r>
          </w:p>
          <w:p w:rsidR="000130C3" w:rsidRPr="000130C3" w:rsidRDefault="000130C3" w:rsidP="00491153">
            <w:pPr>
              <w:jc w:val="center"/>
              <w:rPr>
                <w:sz w:val="16"/>
                <w:szCs w:val="18"/>
                <w:lang w:val="es-ES_tradnl"/>
              </w:rPr>
            </w:pPr>
            <w:r w:rsidRPr="000130C3">
              <w:rPr>
                <w:sz w:val="16"/>
                <w:szCs w:val="18"/>
                <w:lang w:val="es-ES_tradnl"/>
              </w:rPr>
              <w:t>B)</w:t>
            </w:r>
          </w:p>
        </w:tc>
        <w:tc>
          <w:tcPr>
            <w:tcW w:w="1308" w:type="dxa"/>
            <w:shd w:val="clear" w:color="auto" w:fill="DBE5F1" w:themeFill="accent1" w:themeFillTint="33"/>
            <w:vAlign w:val="center"/>
          </w:tcPr>
          <w:p w:rsidR="000130C3" w:rsidRPr="000130C3" w:rsidRDefault="000130C3" w:rsidP="00491153">
            <w:pPr>
              <w:jc w:val="center"/>
              <w:rPr>
                <w:b/>
                <w:sz w:val="16"/>
                <w:szCs w:val="18"/>
                <w:lang w:val="es-ES_tradnl"/>
              </w:rPr>
            </w:pPr>
            <w:r w:rsidRPr="000130C3">
              <w:rPr>
                <w:b/>
                <w:sz w:val="16"/>
                <w:szCs w:val="18"/>
                <w:lang w:val="es-ES_tradnl"/>
              </w:rPr>
              <w:t>MONTO(S)</w:t>
            </w:r>
          </w:p>
          <w:p w:rsidR="000130C3" w:rsidRPr="000130C3" w:rsidRDefault="000130C3" w:rsidP="00491153">
            <w:pPr>
              <w:jc w:val="center"/>
              <w:rPr>
                <w:sz w:val="16"/>
                <w:szCs w:val="18"/>
                <w:lang w:val="es-ES_tradnl"/>
              </w:rPr>
            </w:pPr>
            <w:r w:rsidRPr="000130C3">
              <w:rPr>
                <w:sz w:val="16"/>
                <w:szCs w:val="18"/>
                <w:lang w:val="es-ES_tradnl"/>
              </w:rPr>
              <w:t>C)</w:t>
            </w:r>
          </w:p>
        </w:tc>
        <w:tc>
          <w:tcPr>
            <w:tcW w:w="1032"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ERRORES DE CÁLCULO</w:t>
            </w:r>
          </w:p>
          <w:p w:rsidR="000130C3" w:rsidRPr="000130C3" w:rsidRDefault="000130C3" w:rsidP="00491153">
            <w:pPr>
              <w:jc w:val="center"/>
              <w:rPr>
                <w:sz w:val="16"/>
                <w:szCs w:val="18"/>
                <w:lang w:val="es-ES_tradnl"/>
              </w:rPr>
            </w:pPr>
            <w:r w:rsidRPr="000130C3">
              <w:rPr>
                <w:sz w:val="16"/>
                <w:szCs w:val="18"/>
                <w:lang w:val="es-ES_tradnl"/>
              </w:rPr>
              <w:t>D)</w:t>
            </w:r>
          </w:p>
        </w:tc>
        <w:tc>
          <w:tcPr>
            <w:tcW w:w="1038"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MONTOS PROVISIONALES</w:t>
            </w:r>
          </w:p>
          <w:p w:rsidR="000130C3" w:rsidRPr="000130C3" w:rsidRDefault="000130C3" w:rsidP="00491153">
            <w:pPr>
              <w:jc w:val="center"/>
              <w:rPr>
                <w:sz w:val="16"/>
                <w:szCs w:val="18"/>
                <w:lang w:val="es-ES_tradnl"/>
              </w:rPr>
            </w:pPr>
            <w:r w:rsidRPr="000130C3">
              <w:rPr>
                <w:sz w:val="16"/>
                <w:szCs w:val="18"/>
                <w:lang w:val="es-ES_tradnl"/>
              </w:rPr>
              <w:t>E)</w:t>
            </w:r>
          </w:p>
        </w:tc>
        <w:tc>
          <w:tcPr>
            <w:tcW w:w="1350"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PRECIO(S) CORREGIDO(S) DE LA OFERTA</w:t>
            </w:r>
          </w:p>
          <w:p w:rsidR="000130C3" w:rsidRPr="000130C3" w:rsidRDefault="000130C3" w:rsidP="00491153">
            <w:pPr>
              <w:jc w:val="center"/>
              <w:rPr>
                <w:sz w:val="16"/>
                <w:szCs w:val="18"/>
                <w:lang w:val="es-ES_tradnl"/>
              </w:rPr>
            </w:pPr>
            <w:r w:rsidRPr="000130C3">
              <w:rPr>
                <w:sz w:val="16"/>
                <w:szCs w:val="18"/>
                <w:lang w:val="es-ES_tradnl"/>
              </w:rPr>
              <w:t>F) = C) + D) - E)</w:t>
            </w:r>
          </w:p>
        </w:tc>
        <w:tc>
          <w:tcPr>
            <w:tcW w:w="900" w:type="dxa"/>
            <w:shd w:val="clear" w:color="auto" w:fill="DBE5F1" w:themeFill="accent1" w:themeFillTint="33"/>
            <w:vAlign w:val="center"/>
          </w:tcPr>
          <w:p w:rsidR="000130C3" w:rsidRPr="000130C3" w:rsidRDefault="000130C3" w:rsidP="00491153">
            <w:pPr>
              <w:jc w:val="center"/>
              <w:rPr>
                <w:sz w:val="16"/>
                <w:szCs w:val="18"/>
                <w:lang w:val="es-ES_tradnl"/>
              </w:rPr>
            </w:pPr>
            <w:r w:rsidRPr="000130C3">
              <w:rPr>
                <w:b/>
                <w:sz w:val="16"/>
                <w:szCs w:val="18"/>
                <w:lang w:val="es-ES_tradnl"/>
              </w:rPr>
              <w:t>PORCENTAJE</w:t>
            </w:r>
          </w:p>
          <w:p w:rsidR="000130C3" w:rsidRPr="000130C3" w:rsidRDefault="000130C3" w:rsidP="00491153">
            <w:pPr>
              <w:jc w:val="center"/>
              <w:rPr>
                <w:sz w:val="16"/>
                <w:szCs w:val="18"/>
                <w:u w:val="single"/>
                <w:lang w:val="es-ES_tradnl"/>
              </w:rPr>
            </w:pPr>
            <w:r w:rsidRPr="000130C3">
              <w:rPr>
                <w:sz w:val="16"/>
                <w:szCs w:val="18"/>
                <w:lang w:val="es-ES_tradnl"/>
              </w:rPr>
              <w:t>G)</w:t>
            </w:r>
          </w:p>
        </w:tc>
        <w:tc>
          <w:tcPr>
            <w:tcW w:w="1170" w:type="dxa"/>
            <w:shd w:val="clear" w:color="auto" w:fill="DBE5F1" w:themeFill="accent1" w:themeFillTint="33"/>
            <w:vAlign w:val="center"/>
          </w:tcPr>
          <w:p w:rsidR="000130C3" w:rsidRPr="000130C3" w:rsidRDefault="000130C3" w:rsidP="00491153">
            <w:pPr>
              <w:jc w:val="center"/>
              <w:rPr>
                <w:b/>
                <w:sz w:val="16"/>
                <w:szCs w:val="18"/>
                <w:lang w:val="es-ES_tradnl"/>
              </w:rPr>
            </w:pPr>
            <w:r w:rsidRPr="000130C3">
              <w:rPr>
                <w:b/>
                <w:sz w:val="16"/>
                <w:szCs w:val="18"/>
                <w:lang w:val="es-ES_tradnl"/>
              </w:rPr>
              <w:t>MONTOS</w:t>
            </w:r>
          </w:p>
          <w:p w:rsidR="000130C3" w:rsidRPr="000130C3" w:rsidRDefault="000130C3" w:rsidP="00491153">
            <w:pPr>
              <w:jc w:val="center"/>
              <w:rPr>
                <w:sz w:val="16"/>
                <w:szCs w:val="18"/>
                <w:lang w:val="es-ES_tradnl"/>
              </w:rPr>
            </w:pPr>
            <w:r w:rsidRPr="000130C3">
              <w:rPr>
                <w:sz w:val="16"/>
                <w:szCs w:val="18"/>
                <w:lang w:val="es-ES_tradnl"/>
              </w:rPr>
              <w:t>H)</w:t>
            </w:r>
          </w:p>
        </w:tc>
        <w:tc>
          <w:tcPr>
            <w:tcW w:w="1620" w:type="dxa"/>
            <w:shd w:val="clear" w:color="auto" w:fill="DBE5F1" w:themeFill="accent1" w:themeFillTint="33"/>
            <w:vAlign w:val="center"/>
          </w:tcPr>
          <w:p w:rsidR="000130C3" w:rsidRPr="000130C3" w:rsidRDefault="000130C3" w:rsidP="00491153">
            <w:pPr>
              <w:jc w:val="center"/>
              <w:rPr>
                <w:b/>
                <w:sz w:val="16"/>
                <w:szCs w:val="18"/>
                <w:lang w:val="es-ES_tradnl"/>
              </w:rPr>
            </w:pPr>
            <w:r w:rsidRPr="000130C3">
              <w:rPr>
                <w:b/>
                <w:sz w:val="16"/>
                <w:szCs w:val="18"/>
                <w:lang w:val="es-ES_tradnl"/>
              </w:rPr>
              <w:t>PRECIO(S) DE LA OFERTA CORREGIDO(S) O REBAJADO(S)</w:t>
            </w:r>
          </w:p>
          <w:p w:rsidR="000130C3" w:rsidRPr="000130C3" w:rsidRDefault="000130C3" w:rsidP="00491153">
            <w:pPr>
              <w:jc w:val="center"/>
              <w:rPr>
                <w:sz w:val="16"/>
                <w:szCs w:val="18"/>
                <w:lang w:val="es-ES_tradnl"/>
              </w:rPr>
            </w:pPr>
            <w:r w:rsidRPr="000130C3">
              <w:rPr>
                <w:sz w:val="16"/>
                <w:szCs w:val="18"/>
                <w:lang w:val="es-ES_tradnl"/>
              </w:rPr>
              <w:t>I) = F) - H)</w:t>
            </w:r>
          </w:p>
        </w:tc>
      </w:tr>
      <w:tr w:rsidR="00C570F4" w:rsidRPr="006630A2" w:rsidTr="00C626B2">
        <w:trPr>
          <w:trHeight w:val="687"/>
          <w:jc w:val="center"/>
        </w:trPr>
        <w:tc>
          <w:tcPr>
            <w:tcW w:w="2096" w:type="dxa"/>
            <w:vAlign w:val="center"/>
          </w:tcPr>
          <w:p w:rsidR="000130C3" w:rsidRPr="000130C3" w:rsidRDefault="000130C3" w:rsidP="00491153">
            <w:pPr>
              <w:jc w:val="both"/>
              <w:rPr>
                <w:sz w:val="16"/>
                <w:szCs w:val="16"/>
                <w:lang w:val="es-ES_tradnl"/>
              </w:rPr>
            </w:pPr>
            <w:r w:rsidRPr="000130C3">
              <w:rPr>
                <w:sz w:val="16"/>
                <w:szCs w:val="16"/>
                <w:lang w:val="es-ES_tradnl"/>
              </w:rPr>
              <w:t>Diseños Eléctricos Comerciales, S. de R.L. de C.V.</w:t>
            </w:r>
          </w:p>
        </w:tc>
        <w:tc>
          <w:tcPr>
            <w:tcW w:w="1080" w:type="dxa"/>
            <w:vAlign w:val="center"/>
          </w:tcPr>
          <w:p w:rsidR="000130C3" w:rsidRPr="000130C3" w:rsidRDefault="000130C3" w:rsidP="00491153">
            <w:pPr>
              <w:jc w:val="center"/>
              <w:rPr>
                <w:sz w:val="16"/>
                <w:szCs w:val="16"/>
                <w:lang w:val="es-ES_tradnl"/>
              </w:rPr>
            </w:pPr>
            <w:r w:rsidRPr="000130C3">
              <w:rPr>
                <w:sz w:val="16"/>
                <w:szCs w:val="16"/>
                <w:lang w:val="es-ES_tradnl"/>
              </w:rPr>
              <w:t>Lempira</w:t>
            </w:r>
          </w:p>
        </w:tc>
        <w:tc>
          <w:tcPr>
            <w:tcW w:w="1308" w:type="dxa"/>
            <w:vAlign w:val="center"/>
          </w:tcPr>
          <w:p w:rsidR="000130C3" w:rsidRPr="000130C3" w:rsidRDefault="000130C3" w:rsidP="00491153">
            <w:pPr>
              <w:jc w:val="center"/>
              <w:rPr>
                <w:sz w:val="16"/>
                <w:szCs w:val="16"/>
                <w:lang w:val="es-ES_tradnl"/>
              </w:rPr>
            </w:pPr>
            <w:r w:rsidRPr="000130C3">
              <w:rPr>
                <w:sz w:val="16"/>
                <w:szCs w:val="16"/>
                <w:lang w:val="es-ES_tradnl"/>
              </w:rPr>
              <w:t>L. 2,437,489.35</w:t>
            </w:r>
          </w:p>
        </w:tc>
        <w:tc>
          <w:tcPr>
            <w:tcW w:w="1032" w:type="dxa"/>
            <w:vAlign w:val="center"/>
          </w:tcPr>
          <w:p w:rsidR="000130C3" w:rsidRPr="000130C3" w:rsidRDefault="000130C3" w:rsidP="00491153">
            <w:pPr>
              <w:jc w:val="center"/>
              <w:rPr>
                <w:sz w:val="16"/>
                <w:szCs w:val="16"/>
                <w:lang w:val="es-ES_tradnl"/>
              </w:rPr>
            </w:pPr>
            <w:r w:rsidRPr="000130C3">
              <w:rPr>
                <w:sz w:val="16"/>
                <w:szCs w:val="16"/>
                <w:lang w:val="es-ES_tradnl"/>
              </w:rPr>
              <w:t>L.3,720.63</w:t>
            </w:r>
          </w:p>
        </w:tc>
        <w:tc>
          <w:tcPr>
            <w:tcW w:w="1038"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350" w:type="dxa"/>
            <w:vAlign w:val="center"/>
          </w:tcPr>
          <w:p w:rsidR="000130C3" w:rsidRPr="000130C3" w:rsidRDefault="000130C3" w:rsidP="00491153">
            <w:pPr>
              <w:jc w:val="center"/>
              <w:rPr>
                <w:sz w:val="16"/>
                <w:szCs w:val="16"/>
                <w:lang w:val="es-ES_tradnl"/>
              </w:rPr>
            </w:pPr>
            <w:r w:rsidRPr="000130C3">
              <w:rPr>
                <w:sz w:val="16"/>
                <w:szCs w:val="16"/>
                <w:lang w:val="es-ES_tradnl"/>
              </w:rPr>
              <w:t>L. 2,441,209.98</w:t>
            </w:r>
          </w:p>
        </w:tc>
        <w:tc>
          <w:tcPr>
            <w:tcW w:w="900" w:type="dxa"/>
            <w:vAlign w:val="center"/>
          </w:tcPr>
          <w:p w:rsidR="000130C3" w:rsidRPr="000130C3" w:rsidRDefault="000130C3" w:rsidP="00491153">
            <w:pPr>
              <w:jc w:val="center"/>
              <w:rPr>
                <w:sz w:val="16"/>
                <w:szCs w:val="16"/>
                <w:lang w:val="es-ES_tradnl"/>
              </w:rPr>
            </w:pPr>
            <w:r w:rsidRPr="000130C3">
              <w:rPr>
                <w:sz w:val="16"/>
                <w:szCs w:val="16"/>
                <w:lang w:val="es-ES_tradnl"/>
              </w:rPr>
              <w:t>0.00%</w:t>
            </w:r>
          </w:p>
        </w:tc>
        <w:tc>
          <w:tcPr>
            <w:tcW w:w="1170"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620" w:type="dxa"/>
            <w:vAlign w:val="center"/>
          </w:tcPr>
          <w:p w:rsidR="000130C3" w:rsidRPr="000130C3" w:rsidRDefault="000130C3" w:rsidP="00491153">
            <w:pPr>
              <w:jc w:val="center"/>
              <w:rPr>
                <w:sz w:val="16"/>
                <w:szCs w:val="16"/>
                <w:lang w:val="es-ES_tradnl"/>
              </w:rPr>
            </w:pPr>
            <w:r w:rsidRPr="000130C3">
              <w:rPr>
                <w:sz w:val="16"/>
                <w:szCs w:val="16"/>
                <w:lang w:val="es-ES_tradnl"/>
              </w:rPr>
              <w:t>L. 2,441,209.98</w:t>
            </w:r>
          </w:p>
        </w:tc>
      </w:tr>
      <w:tr w:rsidR="00C570F4" w:rsidRPr="006630A2" w:rsidTr="00C626B2">
        <w:trPr>
          <w:trHeight w:val="687"/>
          <w:jc w:val="center"/>
        </w:trPr>
        <w:tc>
          <w:tcPr>
            <w:tcW w:w="2096" w:type="dxa"/>
            <w:vAlign w:val="center"/>
          </w:tcPr>
          <w:p w:rsidR="000130C3" w:rsidRPr="000130C3" w:rsidRDefault="000130C3" w:rsidP="00491153">
            <w:pPr>
              <w:jc w:val="both"/>
              <w:rPr>
                <w:sz w:val="16"/>
                <w:szCs w:val="16"/>
                <w:lang w:val="es-ES_tradnl"/>
              </w:rPr>
            </w:pPr>
            <w:r w:rsidRPr="000130C3">
              <w:rPr>
                <w:sz w:val="16"/>
                <w:szCs w:val="16"/>
                <w:lang w:val="es-ES_tradnl"/>
              </w:rPr>
              <w:t>Electrificadora de Honduras, S.A. de C.V.</w:t>
            </w:r>
          </w:p>
        </w:tc>
        <w:tc>
          <w:tcPr>
            <w:tcW w:w="1080" w:type="dxa"/>
            <w:vAlign w:val="center"/>
          </w:tcPr>
          <w:p w:rsidR="000130C3" w:rsidRPr="000130C3" w:rsidRDefault="000130C3" w:rsidP="00491153">
            <w:pPr>
              <w:jc w:val="center"/>
              <w:rPr>
                <w:sz w:val="16"/>
                <w:szCs w:val="16"/>
                <w:lang w:val="es-ES_tradnl"/>
              </w:rPr>
            </w:pPr>
            <w:r w:rsidRPr="000130C3">
              <w:rPr>
                <w:sz w:val="16"/>
                <w:szCs w:val="16"/>
                <w:lang w:val="es-ES_tradnl"/>
              </w:rPr>
              <w:t>Lempira</w:t>
            </w:r>
          </w:p>
        </w:tc>
        <w:tc>
          <w:tcPr>
            <w:tcW w:w="1308" w:type="dxa"/>
            <w:vAlign w:val="center"/>
          </w:tcPr>
          <w:p w:rsidR="000130C3" w:rsidRPr="000130C3" w:rsidRDefault="000130C3" w:rsidP="00491153">
            <w:pPr>
              <w:jc w:val="center"/>
              <w:rPr>
                <w:sz w:val="16"/>
                <w:szCs w:val="16"/>
                <w:lang w:val="es-ES_tradnl"/>
              </w:rPr>
            </w:pPr>
            <w:r w:rsidRPr="000130C3">
              <w:rPr>
                <w:sz w:val="16"/>
                <w:szCs w:val="16"/>
                <w:lang w:val="es-ES_tradnl"/>
              </w:rPr>
              <w:t>L. 2,442,282.48</w:t>
            </w:r>
          </w:p>
        </w:tc>
        <w:tc>
          <w:tcPr>
            <w:tcW w:w="1032" w:type="dxa"/>
            <w:vAlign w:val="center"/>
          </w:tcPr>
          <w:p w:rsidR="000130C3" w:rsidRPr="000130C3" w:rsidRDefault="000130C3" w:rsidP="00491153">
            <w:pPr>
              <w:jc w:val="center"/>
              <w:rPr>
                <w:sz w:val="16"/>
                <w:szCs w:val="16"/>
                <w:lang w:val="es-ES_tradnl"/>
              </w:rPr>
            </w:pPr>
            <w:r w:rsidRPr="000130C3">
              <w:rPr>
                <w:sz w:val="16"/>
                <w:szCs w:val="16"/>
                <w:lang w:val="es-ES_tradnl"/>
              </w:rPr>
              <w:t>L.3,720.63</w:t>
            </w:r>
          </w:p>
        </w:tc>
        <w:tc>
          <w:tcPr>
            <w:tcW w:w="1038"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350" w:type="dxa"/>
            <w:vAlign w:val="center"/>
          </w:tcPr>
          <w:p w:rsidR="000130C3" w:rsidRPr="000130C3" w:rsidRDefault="000130C3" w:rsidP="00491153">
            <w:pPr>
              <w:jc w:val="center"/>
              <w:rPr>
                <w:sz w:val="16"/>
                <w:szCs w:val="16"/>
                <w:lang w:val="es-ES_tradnl"/>
              </w:rPr>
            </w:pPr>
            <w:r w:rsidRPr="000130C3">
              <w:rPr>
                <w:sz w:val="16"/>
                <w:szCs w:val="16"/>
                <w:lang w:val="es-ES_tradnl"/>
              </w:rPr>
              <w:t>L. 2,446,003.11</w:t>
            </w:r>
          </w:p>
        </w:tc>
        <w:tc>
          <w:tcPr>
            <w:tcW w:w="900" w:type="dxa"/>
            <w:vAlign w:val="center"/>
          </w:tcPr>
          <w:p w:rsidR="000130C3" w:rsidRPr="000130C3" w:rsidRDefault="000130C3" w:rsidP="00491153">
            <w:pPr>
              <w:jc w:val="center"/>
              <w:rPr>
                <w:sz w:val="16"/>
                <w:szCs w:val="16"/>
                <w:lang w:val="es-ES_tradnl"/>
              </w:rPr>
            </w:pPr>
            <w:r w:rsidRPr="000130C3">
              <w:rPr>
                <w:sz w:val="16"/>
                <w:szCs w:val="16"/>
                <w:lang w:val="es-ES_tradnl"/>
              </w:rPr>
              <w:t>0.00%</w:t>
            </w:r>
          </w:p>
        </w:tc>
        <w:tc>
          <w:tcPr>
            <w:tcW w:w="1170"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620" w:type="dxa"/>
            <w:vAlign w:val="center"/>
          </w:tcPr>
          <w:p w:rsidR="000130C3" w:rsidRPr="000130C3" w:rsidRDefault="000130C3" w:rsidP="00491153">
            <w:pPr>
              <w:jc w:val="center"/>
              <w:rPr>
                <w:sz w:val="16"/>
                <w:szCs w:val="16"/>
                <w:lang w:val="es-ES_tradnl"/>
              </w:rPr>
            </w:pPr>
            <w:r w:rsidRPr="000130C3">
              <w:rPr>
                <w:sz w:val="16"/>
                <w:szCs w:val="16"/>
                <w:lang w:val="es-ES_tradnl"/>
              </w:rPr>
              <w:t>L. 2,446,003.11</w:t>
            </w:r>
          </w:p>
        </w:tc>
      </w:tr>
      <w:tr w:rsidR="00C570F4" w:rsidRPr="00CC4A0C" w:rsidTr="00C626B2">
        <w:trPr>
          <w:trHeight w:val="355"/>
          <w:jc w:val="center"/>
        </w:trPr>
        <w:tc>
          <w:tcPr>
            <w:tcW w:w="2096" w:type="dxa"/>
            <w:vAlign w:val="center"/>
          </w:tcPr>
          <w:p w:rsidR="000130C3" w:rsidRPr="000130C3" w:rsidRDefault="000130C3" w:rsidP="00491153">
            <w:pPr>
              <w:jc w:val="both"/>
              <w:rPr>
                <w:sz w:val="16"/>
                <w:szCs w:val="16"/>
                <w:lang w:val="es-ES_tradnl"/>
              </w:rPr>
            </w:pPr>
            <w:r w:rsidRPr="000130C3">
              <w:rPr>
                <w:sz w:val="16"/>
                <w:szCs w:val="16"/>
                <w:lang w:val="es-HN"/>
              </w:rPr>
              <w:t>Ingeniería CODIMEL, S.DE R.L. DE C.V.</w:t>
            </w:r>
          </w:p>
        </w:tc>
        <w:tc>
          <w:tcPr>
            <w:tcW w:w="1080" w:type="dxa"/>
            <w:vAlign w:val="center"/>
          </w:tcPr>
          <w:p w:rsidR="000130C3" w:rsidRPr="000130C3" w:rsidRDefault="000130C3" w:rsidP="00491153">
            <w:pPr>
              <w:jc w:val="center"/>
              <w:rPr>
                <w:sz w:val="16"/>
                <w:szCs w:val="16"/>
                <w:lang w:val="es-ES_tradnl"/>
              </w:rPr>
            </w:pPr>
            <w:r w:rsidRPr="000130C3">
              <w:rPr>
                <w:sz w:val="16"/>
                <w:szCs w:val="16"/>
                <w:lang w:val="es-ES_tradnl"/>
              </w:rPr>
              <w:t>Lempira</w:t>
            </w:r>
          </w:p>
        </w:tc>
        <w:tc>
          <w:tcPr>
            <w:tcW w:w="1308" w:type="dxa"/>
            <w:vAlign w:val="center"/>
          </w:tcPr>
          <w:p w:rsidR="000130C3" w:rsidRPr="000130C3" w:rsidRDefault="000130C3" w:rsidP="00491153">
            <w:pPr>
              <w:jc w:val="center"/>
              <w:rPr>
                <w:sz w:val="16"/>
                <w:szCs w:val="16"/>
                <w:lang w:val="es-ES_tradnl"/>
              </w:rPr>
            </w:pPr>
            <w:r w:rsidRPr="000130C3">
              <w:rPr>
                <w:sz w:val="16"/>
                <w:szCs w:val="16"/>
                <w:lang w:val="es-ES_tradnl"/>
              </w:rPr>
              <w:t>L. 2,831,378.48</w:t>
            </w:r>
          </w:p>
        </w:tc>
        <w:tc>
          <w:tcPr>
            <w:tcW w:w="1032" w:type="dxa"/>
            <w:vAlign w:val="center"/>
          </w:tcPr>
          <w:p w:rsidR="000130C3" w:rsidRPr="000130C3" w:rsidRDefault="000130C3" w:rsidP="00491153">
            <w:pPr>
              <w:jc w:val="center"/>
              <w:rPr>
                <w:sz w:val="16"/>
                <w:szCs w:val="16"/>
                <w:lang w:val="es-ES_tradnl"/>
              </w:rPr>
            </w:pPr>
            <w:r w:rsidRPr="000130C3">
              <w:rPr>
                <w:sz w:val="16"/>
                <w:szCs w:val="16"/>
                <w:lang w:val="es-ES_tradnl"/>
              </w:rPr>
              <w:t>L.3,478.26</w:t>
            </w:r>
          </w:p>
        </w:tc>
        <w:tc>
          <w:tcPr>
            <w:tcW w:w="1038"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350" w:type="dxa"/>
            <w:vAlign w:val="center"/>
          </w:tcPr>
          <w:p w:rsidR="000130C3" w:rsidRPr="000130C3" w:rsidRDefault="000130C3" w:rsidP="00491153">
            <w:pPr>
              <w:jc w:val="center"/>
              <w:rPr>
                <w:sz w:val="16"/>
                <w:szCs w:val="16"/>
                <w:lang w:val="es-ES_tradnl"/>
              </w:rPr>
            </w:pPr>
            <w:r w:rsidRPr="000130C3">
              <w:rPr>
                <w:sz w:val="16"/>
                <w:szCs w:val="16"/>
                <w:lang w:val="es-ES_tradnl"/>
              </w:rPr>
              <w:t>L. 2,834,856.74</w:t>
            </w:r>
          </w:p>
        </w:tc>
        <w:tc>
          <w:tcPr>
            <w:tcW w:w="900" w:type="dxa"/>
            <w:vAlign w:val="center"/>
          </w:tcPr>
          <w:p w:rsidR="000130C3" w:rsidRPr="000130C3" w:rsidRDefault="000130C3" w:rsidP="00491153">
            <w:pPr>
              <w:jc w:val="center"/>
              <w:rPr>
                <w:sz w:val="16"/>
                <w:szCs w:val="16"/>
                <w:lang w:val="es-ES_tradnl"/>
              </w:rPr>
            </w:pPr>
            <w:r w:rsidRPr="000130C3">
              <w:rPr>
                <w:sz w:val="16"/>
                <w:szCs w:val="16"/>
                <w:lang w:val="es-ES_tradnl"/>
              </w:rPr>
              <w:t>0.00%</w:t>
            </w:r>
          </w:p>
        </w:tc>
        <w:tc>
          <w:tcPr>
            <w:tcW w:w="1170" w:type="dxa"/>
            <w:vAlign w:val="center"/>
          </w:tcPr>
          <w:p w:rsidR="000130C3" w:rsidRPr="000130C3" w:rsidRDefault="000130C3" w:rsidP="00491153">
            <w:pPr>
              <w:jc w:val="center"/>
              <w:rPr>
                <w:sz w:val="16"/>
                <w:szCs w:val="16"/>
                <w:lang w:val="es-ES_tradnl"/>
              </w:rPr>
            </w:pPr>
            <w:r w:rsidRPr="000130C3">
              <w:rPr>
                <w:sz w:val="16"/>
                <w:szCs w:val="16"/>
                <w:lang w:val="es-ES_tradnl"/>
              </w:rPr>
              <w:t>L.0.00</w:t>
            </w:r>
          </w:p>
        </w:tc>
        <w:tc>
          <w:tcPr>
            <w:tcW w:w="1620" w:type="dxa"/>
            <w:vAlign w:val="center"/>
          </w:tcPr>
          <w:p w:rsidR="000130C3" w:rsidRPr="000130C3" w:rsidRDefault="000130C3" w:rsidP="00491153">
            <w:pPr>
              <w:jc w:val="center"/>
              <w:rPr>
                <w:sz w:val="16"/>
                <w:szCs w:val="16"/>
                <w:lang w:val="es-ES_tradnl"/>
              </w:rPr>
            </w:pPr>
            <w:r w:rsidRPr="000130C3">
              <w:rPr>
                <w:sz w:val="16"/>
                <w:szCs w:val="16"/>
                <w:lang w:val="es-ES_tradnl"/>
              </w:rPr>
              <w:t>L. 2,834,856.74</w:t>
            </w:r>
          </w:p>
        </w:tc>
      </w:tr>
    </w:tbl>
    <w:p w:rsidR="000130C3" w:rsidRDefault="000130C3"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53697F" w:rsidRDefault="001012D2" w:rsidP="001012D2">
      <w:pPr>
        <w:pStyle w:val="Prrafodelista"/>
        <w:ind w:left="502"/>
        <w:jc w:val="both"/>
        <w:rPr>
          <w:rFonts w:eastAsiaTheme="minorHAnsi"/>
          <w:sz w:val="6"/>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96376E"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96376E"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F37EFD" w:rsidRPr="000A1599" w:rsidTr="005A46B1">
        <w:trPr>
          <w:trHeight w:val="315"/>
          <w:jc w:val="center"/>
        </w:trPr>
        <w:tc>
          <w:tcPr>
            <w:tcW w:w="1360" w:type="dxa"/>
            <w:shd w:val="clear" w:color="auto" w:fill="auto"/>
            <w:vAlign w:val="center"/>
          </w:tcPr>
          <w:p w:rsidR="00F37EFD" w:rsidRPr="00C71773" w:rsidRDefault="00E22ABA" w:rsidP="005A46B1">
            <w:pPr>
              <w:jc w:val="both"/>
              <w:rPr>
                <w:sz w:val="16"/>
                <w:szCs w:val="16"/>
                <w:lang w:val="es-ES_tradnl"/>
              </w:rPr>
            </w:pPr>
            <w:r w:rsidRPr="000130C3">
              <w:rPr>
                <w:sz w:val="16"/>
                <w:szCs w:val="16"/>
                <w:lang w:val="es-ES_tradnl"/>
              </w:rPr>
              <w:t>Diseños Eléctricos Comerciales, S. de R.L. de C.V.</w:t>
            </w:r>
          </w:p>
        </w:tc>
        <w:tc>
          <w:tcPr>
            <w:tcW w:w="1260" w:type="dxa"/>
            <w:shd w:val="clear" w:color="auto" w:fill="auto"/>
            <w:vAlign w:val="center"/>
          </w:tcPr>
          <w:p w:rsidR="00F37EFD" w:rsidRPr="00C71773" w:rsidRDefault="00E22ABA" w:rsidP="00EF2FD9">
            <w:pPr>
              <w:spacing w:line="240" w:lineRule="auto"/>
              <w:contextualSpacing/>
              <w:jc w:val="center"/>
              <w:rPr>
                <w:sz w:val="16"/>
                <w:szCs w:val="16"/>
                <w:lang w:val="es-ES_tradnl"/>
              </w:rPr>
            </w:pPr>
            <w:r w:rsidRPr="000130C3">
              <w:rPr>
                <w:sz w:val="16"/>
                <w:szCs w:val="16"/>
                <w:lang w:val="es-ES_tradnl"/>
              </w:rPr>
              <w:t>L. 2,437,489.35</w:t>
            </w:r>
          </w:p>
        </w:tc>
        <w:tc>
          <w:tcPr>
            <w:tcW w:w="1304" w:type="dxa"/>
            <w:shd w:val="clear" w:color="auto" w:fill="auto"/>
            <w:vAlign w:val="center"/>
          </w:tcPr>
          <w:p w:rsidR="00B56863" w:rsidRDefault="00B56863" w:rsidP="00B56863">
            <w:pPr>
              <w:spacing w:line="240" w:lineRule="auto"/>
              <w:contextualSpacing/>
              <w:jc w:val="center"/>
              <w:rPr>
                <w:sz w:val="16"/>
                <w:szCs w:val="16"/>
                <w:lang w:val="es-ES_tradnl"/>
              </w:rPr>
            </w:pPr>
          </w:p>
          <w:p w:rsidR="00F37EFD" w:rsidRPr="00C71773" w:rsidRDefault="00AB365B" w:rsidP="00B56863">
            <w:pPr>
              <w:jc w:val="center"/>
              <w:rPr>
                <w:sz w:val="16"/>
                <w:szCs w:val="16"/>
                <w:lang w:val="es-ES_tradnl"/>
              </w:rPr>
            </w:pPr>
            <w:r w:rsidRPr="00B33049">
              <w:rPr>
                <w:sz w:val="18"/>
                <w:szCs w:val="18"/>
                <w:lang w:val="es-ES_tradnl"/>
              </w:rPr>
              <w:t xml:space="preserve">L. </w:t>
            </w:r>
            <w:r>
              <w:rPr>
                <w:sz w:val="18"/>
                <w:szCs w:val="18"/>
                <w:lang w:val="es-ES_tradnl"/>
              </w:rPr>
              <w:t>2,441,209.98</w:t>
            </w:r>
          </w:p>
        </w:tc>
        <w:tc>
          <w:tcPr>
            <w:tcW w:w="153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9513BF" w:rsidRDefault="001012D2" w:rsidP="001012D2">
      <w:pPr>
        <w:jc w:val="both"/>
        <w:rPr>
          <w:rFonts w:eastAsiaTheme="minorHAnsi"/>
          <w:sz w:val="16"/>
          <w:szCs w:val="20"/>
          <w:lang w:val="es-MX"/>
        </w:rPr>
      </w:pPr>
    </w:p>
    <w:p w:rsidR="00BB0AE5" w:rsidRPr="00C825B8" w:rsidRDefault="001012D2" w:rsidP="00BB0AE5">
      <w:pPr>
        <w:pStyle w:val="Prrafodelista"/>
        <w:numPr>
          <w:ilvl w:val="0"/>
          <w:numId w:val="11"/>
        </w:numPr>
        <w:spacing w:after="0" w:line="240" w:lineRule="auto"/>
        <w:jc w:val="both"/>
        <w:rPr>
          <w:rFonts w:eastAsiaTheme="minorHAnsi"/>
          <w:lang w:val="es-MX"/>
        </w:rPr>
      </w:pPr>
      <w:r w:rsidRPr="00C825B8">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r w:rsidR="00BB0AE5" w:rsidRPr="00C825B8">
        <w:rPr>
          <w:rFonts w:eastAsiaTheme="minorHAnsi"/>
          <w:lang w:val="es-MX"/>
        </w:rPr>
        <w:tab/>
      </w: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lastRenderedPageBreak/>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96376E" w:rsidTr="005A46B1">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96376E"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6D124F" w:rsidP="005A46B1">
            <w:pPr>
              <w:jc w:val="both"/>
              <w:rPr>
                <w:b/>
                <w:bCs/>
                <w:sz w:val="18"/>
                <w:szCs w:val="18"/>
                <w:lang w:val="es-ES_tradnl"/>
              </w:rPr>
            </w:pPr>
            <w:r w:rsidRPr="009E467E">
              <w:rPr>
                <w:b/>
                <w:bCs/>
                <w:sz w:val="18"/>
                <w:szCs w:val="18"/>
                <w:lang w:val="es-ES_tradnl"/>
              </w:rPr>
              <w:t>DISEÑOS ELÉCTRICOS COMERCIALES, S. DE R.L. DE C.V.</w:t>
            </w:r>
          </w:p>
        </w:tc>
      </w:tr>
      <w:tr w:rsidR="001012D2" w:rsidRPr="0096376E" w:rsidTr="005A46B1">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6D124F" w:rsidP="005A46B1">
            <w:pPr>
              <w:jc w:val="both"/>
              <w:rPr>
                <w:sz w:val="18"/>
                <w:szCs w:val="18"/>
                <w:lang w:val="es-ES_tradnl"/>
              </w:rPr>
            </w:pPr>
            <w:r>
              <w:rPr>
                <w:sz w:val="18"/>
                <w:szCs w:val="18"/>
                <w:lang w:val="es-ES_tradnl"/>
              </w:rPr>
              <w:t>Colonia la Cañada, Anillo Periférico contiguo a la UTH, calle a la bloquera contiguo a Maya TV, Tegucigalpa/ Amplio plantel de oficinas, ubicado en Colonia San José de Sula, 6 calle 22 y 23 avenida.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4629D9" w:rsidP="00E20707">
            <w:pPr>
              <w:rPr>
                <w:sz w:val="18"/>
                <w:szCs w:val="18"/>
                <w:lang w:val="es-ES_tradnl"/>
              </w:rPr>
            </w:pPr>
            <w:r>
              <w:rPr>
                <w:sz w:val="18"/>
                <w:szCs w:val="18"/>
                <w:lang w:val="es-ES_tradnl"/>
              </w:rPr>
              <w:t>Octubre</w:t>
            </w:r>
            <w:r w:rsidR="001012D2">
              <w:rPr>
                <w:sz w:val="18"/>
                <w:szCs w:val="18"/>
                <w:lang w:val="es-ES_tradnl"/>
              </w:rPr>
              <w:t xml:space="preserve"> 2015</w:t>
            </w:r>
          </w:p>
        </w:tc>
      </w:tr>
      <w:tr w:rsidR="001012D2" w:rsidRPr="0096376E"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96376E" w:rsidP="0096376E">
            <w:pPr>
              <w:rPr>
                <w:sz w:val="18"/>
                <w:szCs w:val="18"/>
                <w:lang w:val="es-ES_tradnl"/>
              </w:rPr>
            </w:pPr>
            <w:r>
              <w:rPr>
                <w:sz w:val="18"/>
                <w:szCs w:val="18"/>
                <w:lang w:val="es-ES_tradnl"/>
              </w:rPr>
              <w:t>Seis Meses Veinte Días (6.67</w:t>
            </w:r>
            <w:r w:rsidR="001012D2">
              <w:rPr>
                <w:sz w:val="18"/>
                <w:szCs w:val="18"/>
                <w:lang w:val="es-ES_tradnl"/>
              </w:rPr>
              <w:t xml:space="preserve">) </w:t>
            </w:r>
            <w:r w:rsidR="00B77753">
              <w:rPr>
                <w:sz w:val="18"/>
                <w:szCs w:val="18"/>
                <w:lang w:val="es-ES_tradnl"/>
              </w:rPr>
              <w:t xml:space="preserve"> </w:t>
            </w:r>
          </w:p>
        </w:tc>
      </w:tr>
      <w:tr w:rsidR="001012D2" w:rsidRPr="0096376E"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D40F7B"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3C5900" w:rsidP="005A46B1">
            <w:pPr>
              <w:jc w:val="center"/>
              <w:rPr>
                <w:sz w:val="16"/>
                <w:szCs w:val="16"/>
                <w:lang w:val="es-ES_tradnl"/>
              </w:rPr>
            </w:pPr>
            <w:r w:rsidRPr="008D50EA">
              <w:rPr>
                <w:sz w:val="16"/>
                <w:szCs w:val="16"/>
                <w:lang w:val="es-ES_tradnl"/>
              </w:rPr>
              <w:t xml:space="preserve">L. </w:t>
            </w:r>
            <w:r>
              <w:rPr>
                <w:sz w:val="16"/>
                <w:szCs w:val="16"/>
                <w:lang w:val="es-ES_tradnl"/>
              </w:rPr>
              <w:t>2,437,489.35</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3C5900" w:rsidP="00D0374B">
            <w:pPr>
              <w:jc w:val="center"/>
              <w:rPr>
                <w:color w:val="1F497D" w:themeColor="text2"/>
                <w:sz w:val="16"/>
                <w:szCs w:val="16"/>
                <w:lang w:val="es-ES_tradnl"/>
              </w:rPr>
            </w:pPr>
            <w:r w:rsidRPr="008D50EA">
              <w:rPr>
                <w:color w:val="1F497D" w:themeColor="text2"/>
                <w:sz w:val="16"/>
                <w:szCs w:val="16"/>
                <w:lang w:val="es-ES_tradnl"/>
              </w:rPr>
              <w:t xml:space="preserve">L. </w:t>
            </w:r>
            <w:r>
              <w:rPr>
                <w:color w:val="1F497D" w:themeColor="text2"/>
                <w:sz w:val="16"/>
                <w:szCs w:val="16"/>
                <w:lang w:val="es-ES_tradnl"/>
              </w:rPr>
              <w:t>2,441,209.98</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8" w:rsidRDefault="00994878" w:rsidP="00CC45CF">
      <w:pPr>
        <w:spacing w:after="0" w:line="240" w:lineRule="auto"/>
      </w:pPr>
      <w:r>
        <w:separator/>
      </w:r>
    </w:p>
  </w:endnote>
  <w:endnote w:type="continuationSeparator" w:id="0">
    <w:p w:rsidR="00994878" w:rsidRDefault="00994878"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Arial Unicode MS"/>
    <w:panose1 w:val="02020803070505020304"/>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8" w:rsidRDefault="00994878" w:rsidP="00CC45CF">
      <w:pPr>
        <w:spacing w:after="0" w:line="240" w:lineRule="auto"/>
      </w:pPr>
      <w:r>
        <w:separator/>
      </w:r>
    </w:p>
  </w:footnote>
  <w:footnote w:type="continuationSeparator" w:id="0">
    <w:p w:rsidR="00994878" w:rsidRDefault="00994878" w:rsidP="00CC45CF">
      <w:pPr>
        <w:spacing w:after="0" w:line="240" w:lineRule="auto"/>
      </w:pPr>
      <w:r>
        <w:continuationSeparator/>
      </w:r>
    </w:p>
  </w:footnote>
  <w:footnote w:id="1">
    <w:p w:rsidR="00F40FAC" w:rsidRPr="00665D33" w:rsidRDefault="00F40FAC" w:rsidP="006E3F5A">
      <w:pPr>
        <w:pStyle w:val="Textonotapie"/>
        <w:jc w:val="both"/>
        <w:rPr>
          <w:rFonts w:asciiTheme="minorHAnsi" w:hAnsiTheme="minorHAnsi"/>
          <w:sz w:val="14"/>
          <w:lang w:val="es-HN"/>
        </w:rPr>
      </w:pPr>
      <w:r w:rsidRPr="00665D33">
        <w:rPr>
          <w:rStyle w:val="Refdenotaalpie"/>
          <w:rFonts w:asciiTheme="minorHAnsi" w:hAnsiTheme="minorHAnsi"/>
          <w:sz w:val="14"/>
        </w:rPr>
        <w:footnoteRef/>
      </w:r>
      <w:r w:rsidRPr="00665D33">
        <w:rPr>
          <w:rFonts w:asciiTheme="minorHAnsi" w:hAnsiTheme="minorHAnsi"/>
          <w:sz w:val="14"/>
          <w:lang w:val="es-HN"/>
        </w:rPr>
        <w:t xml:space="preserve"> La Sociedad Mercantil Ingeniería CODIMEL, S. de R. L. de C.V. establece en el Formulario de Declaración de Mantenimiento de Oferta presentado en ocasión de ésta licitación, lo siguiente: “Aceptamos que automáticamente seremos declarados inelegibles para participar en cualquier licitación de contrato con el Comprador y /o financiado con fondos provenientes del Proyecto de Infraestructura Rural (PIR) por un período de Tres (3) años contados a partir del 06 de julio de 2015 si violamos nuestra(s) obligación(es) bajo las condiciones de la oferta”, lo que implica que, el periodo de inhabilitación del oferente en caso de hacerse efectiva la “Declaración de Mantenimiento de la Oferta, vencería siete (07) días antes de lo solicitado, partiendo de que la fecha de presentación de la oferta fue el día 13 de julio de 2015, limitando de ésta manera los derechos del Contratante. Por lo tanto basados en lo establecido en la sub cláusula 29.2 de la cláusula 29: Evaluación de las Ofertas para determinar su cumplimiento, que literalmente dice, “Una oferta que se ajusta sustancialmente a los Documentos de Licitación es aquella que satisface todos los requisitos estipulados en dicho documento sin desviaciones, reservas u omisiones significativas. Una desviación, reserva u omisión significativa es aquella que, (a) en caso de ser aceptada,(ii) limitaría en un modo sustancial, contrario a los Documentos de Licitación, los derechos del Contratante o las Obligaciones del Licitante en virtud del Contrato propuesto.”, el Comité Evaluador determinó que la Oferta NO se ajusta sustancialmente a los documentos de licitación y por ende la misma es rechazada.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96376E"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0C3"/>
    <w:rsid w:val="00013550"/>
    <w:rsid w:val="00020653"/>
    <w:rsid w:val="00024831"/>
    <w:rsid w:val="00025997"/>
    <w:rsid w:val="00032280"/>
    <w:rsid w:val="000364B9"/>
    <w:rsid w:val="00036B89"/>
    <w:rsid w:val="00037BEA"/>
    <w:rsid w:val="000446BF"/>
    <w:rsid w:val="00045563"/>
    <w:rsid w:val="00050AD9"/>
    <w:rsid w:val="0005172F"/>
    <w:rsid w:val="0005496F"/>
    <w:rsid w:val="00054A6A"/>
    <w:rsid w:val="00056E26"/>
    <w:rsid w:val="00057217"/>
    <w:rsid w:val="000621B2"/>
    <w:rsid w:val="000656DB"/>
    <w:rsid w:val="00067BA2"/>
    <w:rsid w:val="00080C9A"/>
    <w:rsid w:val="00083395"/>
    <w:rsid w:val="000843E9"/>
    <w:rsid w:val="0008609A"/>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0F7144"/>
    <w:rsid w:val="001012D2"/>
    <w:rsid w:val="001013BC"/>
    <w:rsid w:val="001056DB"/>
    <w:rsid w:val="001132D0"/>
    <w:rsid w:val="001144CB"/>
    <w:rsid w:val="0011734D"/>
    <w:rsid w:val="0012617C"/>
    <w:rsid w:val="0012645F"/>
    <w:rsid w:val="001305E3"/>
    <w:rsid w:val="001364ED"/>
    <w:rsid w:val="00142209"/>
    <w:rsid w:val="00142ACC"/>
    <w:rsid w:val="00144869"/>
    <w:rsid w:val="001507BF"/>
    <w:rsid w:val="0015103D"/>
    <w:rsid w:val="00151604"/>
    <w:rsid w:val="00154D24"/>
    <w:rsid w:val="00155395"/>
    <w:rsid w:val="001653E1"/>
    <w:rsid w:val="001701E2"/>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3AAE"/>
    <w:rsid w:val="002179F5"/>
    <w:rsid w:val="00243A76"/>
    <w:rsid w:val="002446AA"/>
    <w:rsid w:val="00250A8D"/>
    <w:rsid w:val="00257390"/>
    <w:rsid w:val="002578BA"/>
    <w:rsid w:val="002611C0"/>
    <w:rsid w:val="00264697"/>
    <w:rsid w:val="00266DC0"/>
    <w:rsid w:val="0027123A"/>
    <w:rsid w:val="00272D9A"/>
    <w:rsid w:val="00276465"/>
    <w:rsid w:val="00277288"/>
    <w:rsid w:val="002775A9"/>
    <w:rsid w:val="00277976"/>
    <w:rsid w:val="00280D0A"/>
    <w:rsid w:val="002A12A3"/>
    <w:rsid w:val="002A1843"/>
    <w:rsid w:val="002A3268"/>
    <w:rsid w:val="002A48B7"/>
    <w:rsid w:val="002B1D5A"/>
    <w:rsid w:val="002B48E9"/>
    <w:rsid w:val="002B5234"/>
    <w:rsid w:val="002B7249"/>
    <w:rsid w:val="002C4A19"/>
    <w:rsid w:val="002D01BF"/>
    <w:rsid w:val="002E0D36"/>
    <w:rsid w:val="002E1327"/>
    <w:rsid w:val="002E1EB1"/>
    <w:rsid w:val="002F22B7"/>
    <w:rsid w:val="002F515F"/>
    <w:rsid w:val="002F583F"/>
    <w:rsid w:val="00300B06"/>
    <w:rsid w:val="0031255B"/>
    <w:rsid w:val="003252A0"/>
    <w:rsid w:val="003378ED"/>
    <w:rsid w:val="00345DBE"/>
    <w:rsid w:val="003513F2"/>
    <w:rsid w:val="00353266"/>
    <w:rsid w:val="003577CB"/>
    <w:rsid w:val="00362B5E"/>
    <w:rsid w:val="0036356F"/>
    <w:rsid w:val="00365937"/>
    <w:rsid w:val="003717E8"/>
    <w:rsid w:val="00373D6B"/>
    <w:rsid w:val="00385FD0"/>
    <w:rsid w:val="0039334D"/>
    <w:rsid w:val="003935F2"/>
    <w:rsid w:val="00393B6A"/>
    <w:rsid w:val="003A2C89"/>
    <w:rsid w:val="003A478E"/>
    <w:rsid w:val="003B6FF4"/>
    <w:rsid w:val="003B7B89"/>
    <w:rsid w:val="003C3391"/>
    <w:rsid w:val="003C5900"/>
    <w:rsid w:val="003C701D"/>
    <w:rsid w:val="003D2B83"/>
    <w:rsid w:val="003E0C33"/>
    <w:rsid w:val="003E29A8"/>
    <w:rsid w:val="00402C8B"/>
    <w:rsid w:val="00406DCD"/>
    <w:rsid w:val="00412BF2"/>
    <w:rsid w:val="00431CD4"/>
    <w:rsid w:val="00433B60"/>
    <w:rsid w:val="004420B0"/>
    <w:rsid w:val="00442565"/>
    <w:rsid w:val="0044554F"/>
    <w:rsid w:val="00445B07"/>
    <w:rsid w:val="004629D9"/>
    <w:rsid w:val="00462A2A"/>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7F"/>
    <w:rsid w:val="005369E7"/>
    <w:rsid w:val="00541554"/>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23DE"/>
    <w:rsid w:val="005E5C1D"/>
    <w:rsid w:val="005F0F07"/>
    <w:rsid w:val="005F2684"/>
    <w:rsid w:val="005F38C4"/>
    <w:rsid w:val="005F49D4"/>
    <w:rsid w:val="005F4A90"/>
    <w:rsid w:val="00601260"/>
    <w:rsid w:val="00603CAF"/>
    <w:rsid w:val="00610EF7"/>
    <w:rsid w:val="00611453"/>
    <w:rsid w:val="0061224B"/>
    <w:rsid w:val="00613D38"/>
    <w:rsid w:val="00616A9C"/>
    <w:rsid w:val="00630782"/>
    <w:rsid w:val="00630A52"/>
    <w:rsid w:val="00634047"/>
    <w:rsid w:val="00641C2B"/>
    <w:rsid w:val="006523A5"/>
    <w:rsid w:val="00663253"/>
    <w:rsid w:val="00665D96"/>
    <w:rsid w:val="006863D2"/>
    <w:rsid w:val="0068732A"/>
    <w:rsid w:val="00697C39"/>
    <w:rsid w:val="006A0631"/>
    <w:rsid w:val="006A4417"/>
    <w:rsid w:val="006A4A1B"/>
    <w:rsid w:val="006B39D3"/>
    <w:rsid w:val="006B748C"/>
    <w:rsid w:val="006C0189"/>
    <w:rsid w:val="006C344F"/>
    <w:rsid w:val="006C4631"/>
    <w:rsid w:val="006C5C9B"/>
    <w:rsid w:val="006D124F"/>
    <w:rsid w:val="006D7960"/>
    <w:rsid w:val="006E1B1A"/>
    <w:rsid w:val="006E3F5A"/>
    <w:rsid w:val="006F2314"/>
    <w:rsid w:val="006F2767"/>
    <w:rsid w:val="007159A5"/>
    <w:rsid w:val="007214F8"/>
    <w:rsid w:val="00722001"/>
    <w:rsid w:val="007263B9"/>
    <w:rsid w:val="00734E7E"/>
    <w:rsid w:val="00735FAF"/>
    <w:rsid w:val="0073700F"/>
    <w:rsid w:val="007406EF"/>
    <w:rsid w:val="00743378"/>
    <w:rsid w:val="00745022"/>
    <w:rsid w:val="00747160"/>
    <w:rsid w:val="00751913"/>
    <w:rsid w:val="007610F6"/>
    <w:rsid w:val="00765235"/>
    <w:rsid w:val="0077480F"/>
    <w:rsid w:val="0077788D"/>
    <w:rsid w:val="007913C8"/>
    <w:rsid w:val="00795877"/>
    <w:rsid w:val="007A720A"/>
    <w:rsid w:val="007A7DB5"/>
    <w:rsid w:val="007B24CE"/>
    <w:rsid w:val="007B31A4"/>
    <w:rsid w:val="007B4CA8"/>
    <w:rsid w:val="007B7F57"/>
    <w:rsid w:val="007C6CDB"/>
    <w:rsid w:val="007D665E"/>
    <w:rsid w:val="007F2298"/>
    <w:rsid w:val="00806722"/>
    <w:rsid w:val="00806CCE"/>
    <w:rsid w:val="00813FAE"/>
    <w:rsid w:val="008178B3"/>
    <w:rsid w:val="00821046"/>
    <w:rsid w:val="00822B14"/>
    <w:rsid w:val="008252E6"/>
    <w:rsid w:val="0084015C"/>
    <w:rsid w:val="00840D39"/>
    <w:rsid w:val="00844464"/>
    <w:rsid w:val="008508C8"/>
    <w:rsid w:val="008511F1"/>
    <w:rsid w:val="00851482"/>
    <w:rsid w:val="00855BF6"/>
    <w:rsid w:val="00865ACC"/>
    <w:rsid w:val="008663F7"/>
    <w:rsid w:val="0087756D"/>
    <w:rsid w:val="008811AB"/>
    <w:rsid w:val="00885648"/>
    <w:rsid w:val="00894EF9"/>
    <w:rsid w:val="00895934"/>
    <w:rsid w:val="00897114"/>
    <w:rsid w:val="008A0197"/>
    <w:rsid w:val="008A70A7"/>
    <w:rsid w:val="008B4901"/>
    <w:rsid w:val="008C2163"/>
    <w:rsid w:val="008D373C"/>
    <w:rsid w:val="008D61FF"/>
    <w:rsid w:val="008D76B8"/>
    <w:rsid w:val="008E40FB"/>
    <w:rsid w:val="008F7BB2"/>
    <w:rsid w:val="00906C19"/>
    <w:rsid w:val="00912BFF"/>
    <w:rsid w:val="00913817"/>
    <w:rsid w:val="009379DF"/>
    <w:rsid w:val="009410E1"/>
    <w:rsid w:val="00941878"/>
    <w:rsid w:val="00942754"/>
    <w:rsid w:val="00947A18"/>
    <w:rsid w:val="009500C7"/>
    <w:rsid w:val="009513BF"/>
    <w:rsid w:val="009529CE"/>
    <w:rsid w:val="009600DD"/>
    <w:rsid w:val="009608F3"/>
    <w:rsid w:val="00961969"/>
    <w:rsid w:val="0096376E"/>
    <w:rsid w:val="009646D0"/>
    <w:rsid w:val="00967A76"/>
    <w:rsid w:val="00976DFD"/>
    <w:rsid w:val="00986FEC"/>
    <w:rsid w:val="00992F0D"/>
    <w:rsid w:val="00994878"/>
    <w:rsid w:val="00996497"/>
    <w:rsid w:val="009A0238"/>
    <w:rsid w:val="009A76E4"/>
    <w:rsid w:val="009B0154"/>
    <w:rsid w:val="009B07DE"/>
    <w:rsid w:val="009B4B6E"/>
    <w:rsid w:val="009B6C13"/>
    <w:rsid w:val="009C4040"/>
    <w:rsid w:val="009C734A"/>
    <w:rsid w:val="009C799F"/>
    <w:rsid w:val="009E1860"/>
    <w:rsid w:val="009E43C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DA3"/>
    <w:rsid w:val="00A46681"/>
    <w:rsid w:val="00A521DE"/>
    <w:rsid w:val="00A54BB6"/>
    <w:rsid w:val="00A61539"/>
    <w:rsid w:val="00A66055"/>
    <w:rsid w:val="00A73436"/>
    <w:rsid w:val="00A7514D"/>
    <w:rsid w:val="00A773E9"/>
    <w:rsid w:val="00A806C1"/>
    <w:rsid w:val="00A87CFA"/>
    <w:rsid w:val="00A91B51"/>
    <w:rsid w:val="00A93795"/>
    <w:rsid w:val="00A97BEA"/>
    <w:rsid w:val="00AA096B"/>
    <w:rsid w:val="00AA1012"/>
    <w:rsid w:val="00AA4F30"/>
    <w:rsid w:val="00AA776A"/>
    <w:rsid w:val="00AA7BA7"/>
    <w:rsid w:val="00AB365B"/>
    <w:rsid w:val="00AB36F8"/>
    <w:rsid w:val="00AB3F95"/>
    <w:rsid w:val="00AB492D"/>
    <w:rsid w:val="00AC1DE6"/>
    <w:rsid w:val="00AC2254"/>
    <w:rsid w:val="00AD2549"/>
    <w:rsid w:val="00AD4459"/>
    <w:rsid w:val="00AE240F"/>
    <w:rsid w:val="00AE247A"/>
    <w:rsid w:val="00AF0808"/>
    <w:rsid w:val="00AF1944"/>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33B73"/>
    <w:rsid w:val="00B44DB5"/>
    <w:rsid w:val="00B50BEE"/>
    <w:rsid w:val="00B557E4"/>
    <w:rsid w:val="00B56863"/>
    <w:rsid w:val="00B744A1"/>
    <w:rsid w:val="00B77753"/>
    <w:rsid w:val="00B80B9E"/>
    <w:rsid w:val="00B87CE3"/>
    <w:rsid w:val="00B96DAF"/>
    <w:rsid w:val="00BA0949"/>
    <w:rsid w:val="00BA2C5C"/>
    <w:rsid w:val="00BA5644"/>
    <w:rsid w:val="00BB0AE5"/>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06182"/>
    <w:rsid w:val="00C11D4C"/>
    <w:rsid w:val="00C12116"/>
    <w:rsid w:val="00C17C04"/>
    <w:rsid w:val="00C33435"/>
    <w:rsid w:val="00C3391C"/>
    <w:rsid w:val="00C33FB6"/>
    <w:rsid w:val="00C36C9B"/>
    <w:rsid w:val="00C4060F"/>
    <w:rsid w:val="00C42F28"/>
    <w:rsid w:val="00C50983"/>
    <w:rsid w:val="00C52260"/>
    <w:rsid w:val="00C53E20"/>
    <w:rsid w:val="00C5500D"/>
    <w:rsid w:val="00C5673F"/>
    <w:rsid w:val="00C570F4"/>
    <w:rsid w:val="00C623EC"/>
    <w:rsid w:val="00C626B2"/>
    <w:rsid w:val="00C6747A"/>
    <w:rsid w:val="00C77414"/>
    <w:rsid w:val="00C77CF1"/>
    <w:rsid w:val="00C825B8"/>
    <w:rsid w:val="00C83A05"/>
    <w:rsid w:val="00C95C5F"/>
    <w:rsid w:val="00CA4A5F"/>
    <w:rsid w:val="00CB1542"/>
    <w:rsid w:val="00CB4D23"/>
    <w:rsid w:val="00CC047C"/>
    <w:rsid w:val="00CC45CF"/>
    <w:rsid w:val="00CD487D"/>
    <w:rsid w:val="00CE6CE5"/>
    <w:rsid w:val="00CE6F8F"/>
    <w:rsid w:val="00CF0FEE"/>
    <w:rsid w:val="00CF6A9B"/>
    <w:rsid w:val="00D0374B"/>
    <w:rsid w:val="00D24628"/>
    <w:rsid w:val="00D24A56"/>
    <w:rsid w:val="00D24CAB"/>
    <w:rsid w:val="00D3045E"/>
    <w:rsid w:val="00D308E5"/>
    <w:rsid w:val="00D310D5"/>
    <w:rsid w:val="00D32AFE"/>
    <w:rsid w:val="00D33BF9"/>
    <w:rsid w:val="00D3639D"/>
    <w:rsid w:val="00D40F7B"/>
    <w:rsid w:val="00D44341"/>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15337"/>
    <w:rsid w:val="00E20707"/>
    <w:rsid w:val="00E22ABA"/>
    <w:rsid w:val="00E30B82"/>
    <w:rsid w:val="00E31FCA"/>
    <w:rsid w:val="00E34233"/>
    <w:rsid w:val="00E36127"/>
    <w:rsid w:val="00E459B9"/>
    <w:rsid w:val="00E5312D"/>
    <w:rsid w:val="00E5363D"/>
    <w:rsid w:val="00E5385F"/>
    <w:rsid w:val="00E57B44"/>
    <w:rsid w:val="00E634D6"/>
    <w:rsid w:val="00E661BB"/>
    <w:rsid w:val="00E67E6D"/>
    <w:rsid w:val="00E76C3B"/>
    <w:rsid w:val="00E813B8"/>
    <w:rsid w:val="00E83165"/>
    <w:rsid w:val="00E91EDC"/>
    <w:rsid w:val="00E9422F"/>
    <w:rsid w:val="00EA09F8"/>
    <w:rsid w:val="00EA13B1"/>
    <w:rsid w:val="00EA1EB7"/>
    <w:rsid w:val="00EA51BD"/>
    <w:rsid w:val="00EA7C34"/>
    <w:rsid w:val="00ED27DF"/>
    <w:rsid w:val="00EE0D71"/>
    <w:rsid w:val="00EE41A2"/>
    <w:rsid w:val="00EF0621"/>
    <w:rsid w:val="00F11319"/>
    <w:rsid w:val="00F17F28"/>
    <w:rsid w:val="00F2320F"/>
    <w:rsid w:val="00F26B2B"/>
    <w:rsid w:val="00F27D59"/>
    <w:rsid w:val="00F37EFD"/>
    <w:rsid w:val="00F40FAC"/>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F0E43"/>
    <w:rsid w:val="00FF4AA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C1C8-26F8-4EAB-A92F-17AD56B0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2</cp:revision>
  <cp:lastPrinted>2015-07-27T21:36:00Z</cp:lastPrinted>
  <dcterms:created xsi:type="dcterms:W3CDTF">2015-10-17T23:15:00Z</dcterms:created>
  <dcterms:modified xsi:type="dcterms:W3CDTF">2015-10-17T23:15:00Z</dcterms:modified>
</cp:coreProperties>
</file>