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TÉRMINOS DE REFERENCIA PARA LA CONTRATACION DE CONSULTOR (A) </w:t>
      </w:r>
      <w:r w:rsidDel="00000000" w:rsidR="00000000" w:rsidRPr="00000000">
        <w:rPr>
          <w:rFonts w:ascii="Times New Roman" w:cs="Times New Roman" w:eastAsia="Times New Roman" w:hAnsi="Times New Roman"/>
          <w:b w:val="1"/>
          <w:rtl w:val="0"/>
        </w:rPr>
        <w:t xml:space="preserve">PARA ASESOR ESPECIALISTA BIOMEDICO PARA LA IMPLEMENTACION DE LA UNIDAD ADMINISTRADORA DEL PROYECTO (UAP) DEL LABORATORIO NACIONAL DE MÓLECULAS BIOLÓGICAS Y PROTOTIPOS DE SALUD</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numPr>
          <w:ilvl w:val="0"/>
          <w:numId w:val="5"/>
        </w:numPr>
        <w:spacing w:after="120" w:lineRule="auto"/>
        <w:ind w:left="540" w:hanging="5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ANTECEDENTES: </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Gobierno de la República de Honduras es el órgano encargado de generar las condiciones óptimas de salud pública en el país, garantizando que las mismas cumplan con las necesidades originadas por la población hondureña, dándoles la oportunidad de recobrar su integridad física a consecuencia de una enfermedad o accidente. Actualmente en el país no se produce una buena cantidad de medicamentos, lo que conlleva a realizar compras fuera del país; es por ello que la creación de este proyecto vendrá a suplir a los centros asistenciales a nivel nacional.</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marco del rescate y fortalecimiento del Sistema Sanitario Público se desarrollará el primer Laboratorio Nacional de Moléculas Biológicas y Prototipos de Salud, para la elaboración de medicamentos del Sistema Sanitario Nacional, el cual contará con todas las especificaciones técnicas y sanitarias. El proyecto facilitará la investigación en temas relacionados con el área de salud y la producción de fármacos supliendo los centros asistenciales públicos y beneficiando a la población hondureña, en especial a los pacientes y los familiares que dependen del sistema de atención pública.</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otro lado, existen esfuerzos aislados de investigadores independientes para el desarrollo de tecnología y prototipos de salud el cual puede contribuir al desarrollo de nuestra industria mediante la producción interna de equipo médico patentado en Honduras y su exportación. Además de la significante labor social, este Laboratorio tiene el propósito de generar espacios para desarrollar dos grandes industrias de manera estatal, la primera, es la investigación en temas relacionados al área de salud, y la segunda es la producción de fármacos y prototipos de salud (prótesis, bombas de insulina, glucómetros, ventiladores mecánicos, para abastecer de forma auto sostenible a la red sanitaria pública. El Laboratorio Nacional de Moléculas Biológicas, Reactivos y Prototipos de Salud, reconoce en el elemento humano su principal capital. Su misión es garantizar que el país cuente con los medicamentos, análisis y prototipos necesarios para preservar la salud de la población, siempre con los más altos estándares de calidad en beneficio de la salud de los hondureños.</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5"/>
        </w:numPr>
        <w:spacing w:after="120" w:lineRule="auto"/>
        <w:ind w:left="540" w:hanging="5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OBJETIVO DE LA CONSULTORÍA: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objetivo de la Unidad de Biomédica del proyecto es contar con la asistencia especializada  de un consultor (a) para realizar la gestión en la implementación de la ruta para investigar, desarrollar y producir dispositivos médicos para la Unidad de Biomédica del Laboratorio a gestión de la Unidad Administradora del Proyecto (UAP), esto para garantizar la Soberanía del Sistema Nacional de Salud mediante el acceso eficiente y oportuno a biológicos, medicamentos, análisis esenciales y prototipos en el área sanitaria.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02" w:right="0" w:hanging="502"/>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OBJETIVOS ESPECÍFICOS</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Verificación de los productos, materiales, medicamentos y de todo equipo que cuente con las especificaciones técnicas de control y calidad que requiera.</w:t>
      </w:r>
    </w:p>
    <w:p w:rsidR="00000000" w:rsidDel="00000000" w:rsidP="00000000" w:rsidRDefault="00000000" w:rsidRPr="00000000" w14:paraId="00000014">
      <w:pPr>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Especificaciones para las operaciones concretas que estarán basadas según los requisitos de normativas enmarcadas en el proyecto.</w:t>
      </w:r>
    </w:p>
    <w:p w:rsidR="00000000" w:rsidDel="00000000" w:rsidP="00000000" w:rsidRDefault="00000000" w:rsidRPr="00000000" w14:paraId="00000015">
      <w:pPr>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Utilización de la materia prima aprobada</w:t>
      </w:r>
    </w:p>
    <w:p w:rsidR="00000000" w:rsidDel="00000000" w:rsidP="00000000" w:rsidRDefault="00000000" w:rsidRPr="00000000" w14:paraId="00000016">
      <w:pPr>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El diseño, construcción, instalación, equipamiento y puesta en operación del proyecto.</w:t>
      </w:r>
    </w:p>
    <w:p w:rsidR="00000000" w:rsidDel="00000000" w:rsidP="00000000" w:rsidRDefault="00000000" w:rsidRPr="00000000" w14:paraId="00000017">
      <w:pPr>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Capacitación del personal en el uso y manejo de las instalaciones y equipo de producción.</w:t>
      </w:r>
    </w:p>
    <w:p w:rsidR="00000000" w:rsidDel="00000000" w:rsidP="00000000" w:rsidRDefault="00000000" w:rsidRPr="00000000" w14:paraId="00000018">
      <w:pPr>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Evaluación y selección del equipamiento del proyecto.</w:t>
      </w:r>
    </w:p>
    <w:p w:rsidR="00000000" w:rsidDel="00000000" w:rsidP="00000000" w:rsidRDefault="00000000" w:rsidRPr="00000000" w14:paraId="00000019">
      <w:pPr>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Evaluación de factibilidad de los posibles prototipos a ejecutar en la primera fase de la puesta en marcha del proyecto.</w:t>
      </w:r>
    </w:p>
    <w:p w:rsidR="00000000" w:rsidDel="00000000" w:rsidP="00000000" w:rsidRDefault="00000000" w:rsidRPr="00000000" w14:paraId="0000001A">
      <w:pPr>
        <w:ind w:left="567" w:hanging="28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5"/>
        </w:numPr>
        <w:spacing w:after="120" w:lineRule="auto"/>
        <w:ind w:left="540" w:hanging="5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ACTIVIDADES REQUERIDAS AL CONSULTOR:</w:t>
      </w:r>
      <w:r w:rsidDel="00000000" w:rsidR="00000000" w:rsidRPr="00000000">
        <w:rPr>
          <w:rtl w:val="0"/>
        </w:rPr>
      </w:r>
    </w:p>
    <w:p w:rsidR="00000000" w:rsidDel="00000000" w:rsidP="00000000" w:rsidRDefault="00000000" w:rsidRPr="00000000" w14:paraId="0000001E">
      <w:pPr>
        <w:spacing w:after="12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Establecer el diagrama de procesos del laboratorio de prototipos de salud. </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Evaluar el diseño de las instalaciones del laboratorio de prototipos de salud, garantizando que cuenta con los requisitos para poder llevar a cabo todos los procesos necesarios para realizar investigación de tecnologías biomédicas.</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Participar activamente en la selección del equipamiento del laboratorio de prototipos de salud. </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Evaluar todas las decisiones concernientes al laboratorio de prototipos de salud en todas las etapas de la ejecución del proyecto. </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Detectar y alertar a la Unidad Ejecutora y a SEDECOAS/FHIS, sobre cualquier condición que pudiera incidir en inconvenientes de ejecución y así evitar atrasos en el cronograma. </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Elaborar reportes y opiniones técnicas concerniente al laboratorio de prototipos de salud, en medida que las empresas o instituciones involucradas en la ejecución del proyecto lo requieran. </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Mantener una efectiva comunicación con todos los involucrados en el proyecto. </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Proponer ideas que optimicen las capacidades del laboratorio de prototipos de salud.</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Supervisar todas las actividades que correspondan al laboratorio de prototipos de salud. </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Definir el organigrama para el laboratorio de prototipos de salud, de manera que funcione de manera eficiente. </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Establecer los perfiles profesionales de cada puesto del organigrama del laboratorio de prototipos de salud, con el propósito de contar con el recurso humano necesario. </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Supervisar todas las áreas bajo su responsabilidad y el recurso humano a su cargo. </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Otras actividades encomendadas por el Director del proyecto. </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12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A">
      <w:pPr>
        <w:spacing w:after="12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502"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PERFIL DEL CONSULTOR: </w:t>
      </w: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Grado Universitario a nivel de PREGRADO en el </w:t>
      </w:r>
      <w:r w:rsidDel="00000000" w:rsidR="00000000" w:rsidRPr="00000000">
        <w:rPr>
          <w:rFonts w:ascii="Times New Roman" w:cs="Times New Roman" w:eastAsia="Times New Roman" w:hAnsi="Times New Roman"/>
          <w:rtl w:val="0"/>
        </w:rPr>
        <w:t xml:space="preserve">área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de  </w:t>
      </w:r>
      <w:r w:rsidDel="00000000" w:rsidR="00000000" w:rsidRPr="00000000">
        <w:rPr>
          <w:rFonts w:ascii="Times New Roman" w:cs="Times New Roman" w:eastAsia="Times New Roman" w:hAnsi="Times New Roman"/>
          <w:rtl w:val="0"/>
        </w:rPr>
        <w:t xml:space="preserve">Ingeniería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Biomédica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u otras carreras afines.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Experiencia  </w:t>
      </w:r>
      <w:r w:rsidDel="00000000" w:rsidR="00000000" w:rsidRPr="00000000">
        <w:rPr>
          <w:rFonts w:ascii="Times New Roman" w:cs="Times New Roman" w:eastAsia="Times New Roman" w:hAnsi="Times New Roman"/>
          <w:rtl w:val="0"/>
        </w:rPr>
        <w:t xml:space="preserve">mínima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de 5  años en </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esarrollo de tecnologías biomédicas y prototipos de salud.</w:t>
      </w:r>
      <w:r w:rsidDel="00000000" w:rsidR="00000000" w:rsidRPr="00000000">
        <w:rPr>
          <w:rtl w:val="0"/>
        </w:rPr>
      </w:r>
    </w:p>
    <w:p w:rsidR="00000000" w:rsidDel="00000000" w:rsidP="00000000" w:rsidRDefault="00000000" w:rsidRPr="00000000" w14:paraId="0000003F">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Conocimiento de equipo utilizado en laboratorios de investigación biomédica.</w:t>
      </w:r>
    </w:p>
    <w:p w:rsidR="00000000" w:rsidDel="00000000" w:rsidP="00000000" w:rsidRDefault="00000000" w:rsidRPr="00000000" w14:paraId="00000040">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Entrenamiento en desarrollo de productos innovadores.</w:t>
      </w:r>
    </w:p>
    <w:p w:rsidR="00000000" w:rsidDel="00000000" w:rsidP="00000000" w:rsidRDefault="00000000" w:rsidRPr="00000000" w14:paraId="00000041">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Experiencia en coordinación de equipos de trabajo, planificando proyectos y ejecutandolos. </w:t>
      </w:r>
    </w:p>
    <w:p w:rsidR="00000000" w:rsidDel="00000000" w:rsidP="00000000" w:rsidRDefault="00000000" w:rsidRPr="00000000" w14:paraId="00000042">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Experiencia en al menos un Proyecto en investigación científica   </w:t>
      </w:r>
    </w:p>
    <w:p w:rsidR="00000000" w:rsidDel="00000000" w:rsidP="00000000" w:rsidRDefault="00000000" w:rsidRPr="00000000" w14:paraId="00000043">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Habilidad para el manejo de  programas de Windows Office</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color w:val="0d0d0d"/>
          <w:u w:val="single"/>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color w:val="0d0d0d"/>
          <w:u w:val="single"/>
        </w:rPr>
      </w:pPr>
      <w:r w:rsidDel="00000000" w:rsidR="00000000" w:rsidRPr="00000000">
        <w:rPr>
          <w:rtl w:val="0"/>
        </w:rPr>
      </w:r>
    </w:p>
    <w:p w:rsidR="00000000" w:rsidDel="00000000" w:rsidP="00000000" w:rsidRDefault="00000000" w:rsidRPr="00000000" w14:paraId="00000046">
      <w:pPr>
        <w:numPr>
          <w:ilvl w:val="0"/>
          <w:numId w:val="5"/>
        </w:numPr>
        <w:spacing w:after="120" w:line="276" w:lineRule="auto"/>
        <w:ind w:left="540" w:hanging="540"/>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b w:val="1"/>
          <w:color w:val="000000"/>
          <w:rtl w:val="0"/>
        </w:rPr>
        <w:t xml:space="preserve">PLAZO DE LA CONSULTORÍA:</w:t>
      </w:r>
      <w:r w:rsidDel="00000000" w:rsidR="00000000" w:rsidRPr="00000000">
        <w:rPr>
          <w:rtl w:val="0"/>
        </w:rPr>
      </w:r>
    </w:p>
    <w:p w:rsidR="00000000" w:rsidDel="00000000" w:rsidP="00000000" w:rsidRDefault="00000000" w:rsidRPr="00000000" w14:paraId="00000047">
      <w:pPr>
        <w:spacing w:line="276" w:lineRule="auto"/>
        <w:jc w:val="both"/>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4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Consultoría tendrá un plazo de seis (06) meses, prorrogable de acuerdo al buen desempeño del consultor, a los requerimientos de esta institución y la disponibilidad de financiamiento. Deberá estar disponible en plazo de la consultoría, no podrá desempeñar cargo público simultáneamente, el contrato podrá rescindirse según lo establecido en la Ley de Contratación del Estado.</w:t>
      </w:r>
    </w:p>
    <w:p w:rsidR="00000000" w:rsidDel="00000000" w:rsidP="00000000" w:rsidRDefault="00000000" w:rsidRPr="00000000" w14:paraId="00000049">
      <w:pPr>
        <w:spacing w:line="276" w:lineRule="auto"/>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502"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FINANCIAMIENTO DE LA CONSULTORÍA</w:t>
      </w:r>
      <w:r w:rsidDel="00000000" w:rsidR="00000000" w:rsidRPr="00000000">
        <w:rPr>
          <w:rtl w:val="0"/>
        </w:rPr>
      </w:r>
    </w:p>
    <w:p w:rsidR="00000000" w:rsidDel="00000000" w:rsidP="00000000" w:rsidRDefault="00000000" w:rsidRPr="00000000" w14:paraId="0000004C">
      <w:pPr>
        <w:spacing w:after="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monto total de este contrato será financiado con fondos de SEDECOAS.</w:t>
      </w:r>
    </w:p>
    <w:p w:rsidR="00000000" w:rsidDel="00000000" w:rsidP="00000000" w:rsidRDefault="00000000" w:rsidRPr="00000000" w14:paraId="0000004D">
      <w:pPr>
        <w:spacing w:after="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502"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COSTO ESTIMADO DE LA CONSULTORÍA Y FORMA DE PAGO</w:t>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50">
      <w:pPr>
        <w:spacing w:after="160" w:line="276" w:lineRule="auto"/>
        <w:ind w:right="-142"/>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Los consultores recibirán por la prestación de sus servicios profesionales la cantidad mensual acordada con el SEDECOAS/FHIS y que será establecida en su contrato</w:t>
      </w:r>
      <w:r w:rsidDel="00000000" w:rsidR="00000000" w:rsidRPr="00000000">
        <w:rPr>
          <w:rFonts w:ascii="Times New Roman" w:cs="Times New Roman" w:eastAsia="Times New Roman" w:hAnsi="Times New Roman"/>
          <w:color w:val="0d0d0d"/>
          <w:rtl w:val="0"/>
        </w:rPr>
        <w:t xml:space="preserve"> que para tal efecto suscriba </w:t>
      </w:r>
      <w:r w:rsidDel="00000000" w:rsidR="00000000" w:rsidRPr="00000000">
        <w:rPr>
          <w:rFonts w:ascii="Times New Roman" w:cs="Times New Roman" w:eastAsia="Times New Roman" w:hAnsi="Times New Roman"/>
          <w:rtl w:val="0"/>
        </w:rPr>
        <w:t xml:space="preserve">Fondo Hondureño de Inversión Social (FHIS)</w:t>
      </w:r>
      <w:r w:rsidDel="00000000" w:rsidR="00000000" w:rsidRPr="00000000">
        <w:rPr>
          <w:rFonts w:ascii="Times New Roman" w:cs="Times New Roman" w:eastAsia="Times New Roman" w:hAnsi="Times New Roman"/>
          <w:color w:val="0d0d0d"/>
          <w:rtl w:val="0"/>
        </w:rPr>
        <w:t xml:space="preserve">.</w:t>
      </w:r>
      <w:r w:rsidDel="00000000" w:rsidR="00000000" w:rsidRPr="00000000">
        <w:rPr>
          <w:rFonts w:ascii="Times New Roman" w:cs="Times New Roman" w:eastAsia="Times New Roman" w:hAnsi="Times New Roman"/>
          <w:rtl w:val="0"/>
        </w:rPr>
        <w:t xml:space="preserve"> Previo a cada solicitud de pago mensual, el Consultor someterá a revisión y Visto Bueno, del Director del Proyecto, el Informe de actividades realizadas durante el período. una vez haya sido aprobado por la Dirección General será revisado por la Dirección de Contrataciones quien posteriormente remitirá a la Dirección de Finanzas y Administración para seguir el trámite que corresponda a su pago.</w:t>
      </w:r>
    </w:p>
    <w:p w:rsidR="00000000" w:rsidDel="00000000" w:rsidP="00000000" w:rsidRDefault="00000000" w:rsidRPr="00000000" w14:paraId="00000051">
      <w:pPr>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ab/>
      </w:r>
    </w:p>
    <w:p w:rsidR="00000000" w:rsidDel="00000000" w:rsidP="00000000" w:rsidRDefault="00000000" w:rsidRPr="00000000" w14:paraId="00000052">
      <w:pPr>
        <w:spacing w:after="200" w:line="276" w:lineRule="auto"/>
        <w:jc w:val="both"/>
        <w:rPr>
          <w:rFonts w:ascii="Times New Roman" w:cs="Times New Roman" w:eastAsia="Times New Roman" w:hAnsi="Times New Roman"/>
          <w:b w:val="1"/>
          <w:u w:val="single"/>
        </w:rPr>
      </w:pPr>
      <w:bookmarkStart w:colFirst="0" w:colLast="0" w:name="_heading=h.1fob9te" w:id="2"/>
      <w:bookmarkEnd w:id="2"/>
      <w:r w:rsidDel="00000000" w:rsidR="00000000" w:rsidRPr="00000000">
        <w:rPr>
          <w:rFonts w:ascii="Times New Roman" w:cs="Times New Roman" w:eastAsia="Times New Roman" w:hAnsi="Times New Roman"/>
          <w:b w:val="1"/>
          <w:color w:val="000000"/>
          <w:rtl w:val="0"/>
        </w:rPr>
        <w:t xml:space="preserve">IX.</w:t>
      </w:r>
      <w:r w:rsidDel="00000000" w:rsidR="00000000" w:rsidRPr="00000000">
        <w:rPr>
          <w:rFonts w:ascii="Times New Roman" w:cs="Times New Roman" w:eastAsia="Times New Roman" w:hAnsi="Times New Roman"/>
          <w:b w:val="1"/>
          <w:rtl w:val="0"/>
        </w:rPr>
        <w:t xml:space="preserve"> RETENCIONES</w:t>
      </w:r>
      <w:r w:rsidDel="00000000" w:rsidR="00000000" w:rsidRPr="00000000">
        <w:rPr>
          <w:rtl w:val="0"/>
        </w:rPr>
      </w:r>
    </w:p>
    <w:p w:rsidR="00000000" w:rsidDel="00000000" w:rsidP="00000000" w:rsidRDefault="00000000" w:rsidRPr="00000000" w14:paraId="00000053">
      <w:pPr>
        <w:spacing w:after="120" w:line="276" w:lineRule="auto"/>
        <w:ind w:right="424"/>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De cada pago realizado al CONSULTOR se le efectuarán las retenciones que apliquen de conformidad con la ley vigente, incluyendo el 12.5% del monto de cada pago en concepto de Impuesto Sobre la Renta (ISR), </w:t>
      </w:r>
      <w:r w:rsidDel="00000000" w:rsidR="00000000" w:rsidRPr="00000000">
        <w:rPr>
          <w:rFonts w:ascii="Times New Roman" w:cs="Times New Roman" w:eastAsia="Times New Roman" w:hAnsi="Times New Roman"/>
          <w:u w:val="single"/>
          <w:rtl w:val="0"/>
        </w:rPr>
        <w:t xml:space="preserve">a menos que el consultor presente constancia vigente de estar sometido al Régimen de Pagos a Cuenta del Servicio de Administración de Rentas (SAR).</w:t>
      </w:r>
      <w:r w:rsidDel="00000000" w:rsidR="00000000" w:rsidRPr="00000000">
        <w:rPr>
          <w:rtl w:val="0"/>
        </w:rPr>
      </w:r>
    </w:p>
    <w:p w:rsidR="00000000" w:rsidDel="00000000" w:rsidP="00000000" w:rsidRDefault="00000000" w:rsidRPr="00000000" w14:paraId="00000054">
      <w:pPr>
        <w:spacing w:after="120" w:line="276" w:lineRule="auto"/>
        <w:ind w:right="424"/>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55">
      <w:pPr>
        <w:spacing w:after="120" w:line="276" w:lineRule="auto"/>
        <w:ind w:right="424"/>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b w:val="1"/>
          <w:color w:val="000000"/>
        </w:rPr>
      </w:pPr>
      <w:bookmarkStart w:colFirst="0" w:colLast="0" w:name="_heading=h.3znysh7" w:id="3"/>
      <w:bookmarkEnd w:id="3"/>
      <w:r w:rsidDel="00000000" w:rsidR="00000000" w:rsidRPr="00000000">
        <w:br w:type="page"/>
      </w:r>
      <w:r w:rsidDel="00000000" w:rsidR="00000000" w:rsidRPr="00000000">
        <w:rPr>
          <w:rtl w:val="0"/>
        </w:rPr>
      </w:r>
    </w:p>
    <w:p w:rsidR="00000000" w:rsidDel="00000000" w:rsidP="00000000" w:rsidRDefault="00000000" w:rsidRPr="00000000" w14:paraId="00000057">
      <w:pPr>
        <w:numPr>
          <w:ilvl w:val="0"/>
          <w:numId w:val="5"/>
        </w:numPr>
        <w:spacing w:after="120" w:lineRule="auto"/>
        <w:ind w:left="540" w:hanging="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MATRIZ DE EVALUACIÓN:</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NOTA: los criterios a calificar deben ser compatibles con lo establecido en la sección “Perfil del Consultor”.</w:t>
      </w:r>
    </w:p>
    <w:p w:rsidR="00000000" w:rsidDel="00000000" w:rsidP="00000000" w:rsidRDefault="00000000" w:rsidRPr="00000000" w14:paraId="00000059">
      <w:pPr>
        <w:spacing w:after="120" w:lineRule="auto"/>
        <w:ind w:left="540" w:firstLine="0"/>
        <w:jc w:val="both"/>
        <w:rPr>
          <w:rFonts w:ascii="Times New Roman" w:cs="Times New Roman" w:eastAsia="Times New Roman" w:hAnsi="Times New Roman"/>
          <w:b w:val="1"/>
        </w:rPr>
      </w:pPr>
      <w:r w:rsidDel="00000000" w:rsidR="00000000" w:rsidRPr="00000000">
        <w:rPr>
          <w:rtl w:val="0"/>
        </w:rPr>
      </w:r>
    </w:p>
    <w:tbl>
      <w:tblPr>
        <w:tblStyle w:val="Table1"/>
        <w:tblW w:w="10079.0" w:type="dxa"/>
        <w:jc w:val="left"/>
        <w:tblInd w:w="70.0" w:type="dxa"/>
        <w:tblLayout w:type="fixed"/>
        <w:tblLook w:val="0400"/>
      </w:tblPr>
      <w:tblGrid>
        <w:gridCol w:w="595"/>
        <w:gridCol w:w="6011"/>
        <w:gridCol w:w="1738"/>
        <w:gridCol w:w="1735"/>
        <w:tblGridChange w:id="0">
          <w:tblGrid>
            <w:gridCol w:w="595"/>
            <w:gridCol w:w="6011"/>
            <w:gridCol w:w="1738"/>
            <w:gridCol w:w="1735"/>
          </w:tblGrid>
        </w:tblGridChange>
      </w:tblGrid>
      <w:tr>
        <w:trPr>
          <w:cantSplit w:val="0"/>
          <w:trHeight w:val="242" w:hRule="atLeast"/>
          <w:tblHeader w:val="0"/>
        </w:trPr>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5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5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CRITERIOS DE </w:t>
            </w:r>
            <w:r w:rsidDel="00000000" w:rsidR="00000000" w:rsidRPr="00000000">
              <w:rPr>
                <w:rFonts w:ascii="Times New Roman" w:cs="Times New Roman" w:eastAsia="Times New Roman" w:hAnsi="Times New Roman"/>
                <w:b w:val="1"/>
                <w:rtl w:val="0"/>
              </w:rPr>
              <w:t xml:space="preserve">EVALUACIÓN</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5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PUNTAJE</w:t>
            </w:r>
          </w:p>
        </w:tc>
        <w:tc>
          <w:tcPr>
            <w:tcBorders>
              <w:top w:color="000000" w:space="0" w:sz="8" w:val="single"/>
              <w:left w:color="000000" w:space="0" w:sz="0" w:val="nil"/>
              <w:bottom w:color="000000" w:space="0" w:sz="4" w:val="single"/>
              <w:right w:color="000000" w:space="0" w:sz="8" w:val="single"/>
            </w:tcBorders>
          </w:tcPr>
          <w:p w:rsidR="00000000" w:rsidDel="00000000" w:rsidP="00000000" w:rsidRDefault="00000000" w:rsidRPr="00000000" w14:paraId="0000005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Puntaje mínimo para calificar</w:t>
            </w:r>
          </w:p>
        </w:tc>
      </w:tr>
      <w:tr>
        <w:trPr>
          <w:cantSplit w:val="0"/>
          <w:trHeight w:val="264"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5F">
            <w:pPr>
              <w:jc w:val="both"/>
              <w:rPr>
                <w:rFonts w:ascii="Times New Roman" w:cs="Times New Roman" w:eastAsia="Times New Roman" w:hAnsi="Times New Roman"/>
                <w:b w:val="1"/>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d0d0d"/>
                <w:rtl w:val="0"/>
              </w:rPr>
              <w:t xml:space="preserve">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70%</w:t>
            </w:r>
          </w:p>
        </w:tc>
      </w:tr>
      <w:tr>
        <w:trPr>
          <w:cantSplit w:val="0"/>
          <w:trHeight w:val="82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Grado Universitario a nivel de PREGRADO en el área de  Ingeniería Biomédica u otras carreras afines.</w:t>
            </w:r>
          </w:p>
        </w:tc>
        <w:tc>
          <w:tcPr>
            <w:gridSpan w:val="2"/>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82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Experiencia  mínima de 5  años en Desarrollo de tecnologías biomédicas y prototipos de salud.</w:t>
            </w:r>
          </w:p>
        </w:tc>
        <w:tc>
          <w:tcPr>
            <w:gridSpan w:val="2"/>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68">
            <w:pPr>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cantSplit w:val="0"/>
          <w:trHeight w:val="82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Experiencia en al menos un Proyecto en investigación científica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gridSpan w:val="2"/>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6D">
            <w:pPr>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cantSplit w:val="0"/>
          <w:trHeight w:val="206" w:hRule="atLeast"/>
          <w:tblHeader w:val="0"/>
        </w:trPr>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Conocimiento de equipo utilizado en laboratorios de investigación biomédica.</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tl w:val="0"/>
              </w:rPr>
            </w:r>
          </w:p>
        </w:tc>
      </w:tr>
      <w:tr>
        <w:trPr>
          <w:cantSplit w:val="0"/>
          <w:trHeight w:val="206" w:hRule="atLeast"/>
          <w:tblHeader w:val="0"/>
        </w:trPr>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Experiencia en coordinación de equipos de trabajo, planificando proyectos y ejecución.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tl w:val="0"/>
              </w:rPr>
            </w:r>
          </w:p>
        </w:tc>
      </w:tr>
      <w:tr>
        <w:trPr>
          <w:cantSplit w:val="0"/>
          <w:trHeight w:val="206" w:hRule="atLeast"/>
          <w:tblHeader w:val="0"/>
        </w:trPr>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Habilidad para el manejo de  programas de Windows Office y softwares especializados para el diseño de dispositivos médicos. </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tl w:val="0"/>
              </w:rPr>
            </w:r>
          </w:p>
        </w:tc>
      </w:tr>
      <w:tr>
        <w:trPr>
          <w:cantSplit w:val="0"/>
          <w:trHeight w:val="206" w:hRule="atLeast"/>
          <w:tblHeader w:val="0"/>
        </w:trPr>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Entrenamiento en desarrollo de productos innovadores.</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tl w:val="0"/>
              </w:rPr>
            </w:r>
          </w:p>
        </w:tc>
      </w:tr>
      <w:tr>
        <w:trPr>
          <w:cantSplit w:val="0"/>
          <w:trHeight w:val="139" w:hRule="atLeast"/>
          <w:tblHeader w:val="0"/>
        </w:trPr>
        <w:tc>
          <w:tcPr>
            <w:gridSpan w:val="2"/>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7F">
            <w:pPr>
              <w:jc w:val="right"/>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TOTAL PUNTAJE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83">
      <w:pPr>
        <w:tabs>
          <w:tab w:val="left" w:leader="none" w:pos="426"/>
        </w:tabs>
        <w:jc w:val="both"/>
        <w:rPr>
          <w:rFonts w:ascii="Times New Roman" w:cs="Times New Roman" w:eastAsia="Times New Roman" w:hAnsi="Times New Roman"/>
          <w:b w:val="1"/>
          <w:color w:val="0d0d0d"/>
        </w:rPr>
      </w:pPr>
      <w:bookmarkStart w:colFirst="0" w:colLast="0" w:name="_heading=h.2et92p0" w:id="4"/>
      <w:bookmarkEnd w:id="4"/>
      <w:r w:rsidDel="00000000" w:rsidR="00000000" w:rsidRPr="00000000">
        <w:rPr>
          <w:rtl w:val="0"/>
        </w:rPr>
      </w:r>
    </w:p>
    <w:p w:rsidR="00000000" w:rsidDel="00000000" w:rsidP="00000000" w:rsidRDefault="00000000" w:rsidRPr="00000000" w14:paraId="00000084">
      <w:pPr>
        <w:tabs>
          <w:tab w:val="left" w:leader="none" w:pos="426"/>
        </w:tabs>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b w:val="1"/>
          <w:color w:val="0d0d0d"/>
          <w:rtl w:val="0"/>
        </w:rPr>
        <w:t xml:space="preserve">Puntaje mínimo para considerar a los perfiles como comparables</w:t>
      </w:r>
      <w:r w:rsidDel="00000000" w:rsidR="00000000" w:rsidRPr="00000000">
        <w:rPr>
          <w:rFonts w:ascii="Times New Roman" w:cs="Times New Roman" w:eastAsia="Times New Roman" w:hAnsi="Times New Roman"/>
          <w:color w:val="0d0d0d"/>
          <w:rtl w:val="0"/>
        </w:rPr>
        <w:t xml:space="preserve">: Cada perfil deberá obtener el puntaje mínimo de 70 puntos para ser parte del proceso de comparación y cumplir con todos los requisitos establecidos. </w:t>
      </w:r>
    </w:p>
    <w:p w:rsidR="00000000" w:rsidDel="00000000" w:rsidP="00000000" w:rsidRDefault="00000000" w:rsidRPr="00000000" w14:paraId="00000085">
      <w:pPr>
        <w:tabs>
          <w:tab w:val="left" w:leader="none" w:pos="426"/>
        </w:tabs>
        <w:jc w:val="both"/>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86">
      <w:pPr>
        <w:spacing w:after="120" w:lineRule="auto"/>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b w:val="1"/>
          <w:color w:val="0d0d0d"/>
          <w:rtl w:val="0"/>
        </w:rPr>
        <w:t xml:space="preserve">Mecanismo de desempate:</w:t>
      </w:r>
      <w:r w:rsidDel="00000000" w:rsidR="00000000" w:rsidRPr="00000000">
        <w:rPr>
          <w:rFonts w:ascii="Times New Roman" w:cs="Times New Roman" w:eastAsia="Times New Roman" w:hAnsi="Times New Roman"/>
          <w:color w:val="0d0d0d"/>
          <w:rtl w:val="0"/>
        </w:rPr>
        <w:t xml:space="preserve"> En aquellos casos donde exista empate entre los consultores se definirá el desempate de la siguiente forma:</w:t>
      </w:r>
    </w:p>
    <w:p w:rsidR="00000000" w:rsidDel="00000000" w:rsidP="00000000" w:rsidRDefault="00000000" w:rsidRPr="00000000" w14:paraId="00000087">
      <w:pPr>
        <w:numPr>
          <w:ilvl w:val="0"/>
          <w:numId w:val="1"/>
        </w:numP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Como primera instancia: </w:t>
      </w:r>
      <w:r w:rsidDel="00000000" w:rsidR="00000000" w:rsidRPr="00000000">
        <w:rPr>
          <w:rFonts w:ascii="Times New Roman" w:cs="Times New Roman" w:eastAsia="Times New Roman" w:hAnsi="Times New Roman"/>
          <w:color w:val="000000"/>
          <w:rtl w:val="0"/>
        </w:rPr>
        <w:t xml:space="preserve">Experiencia Específica de acuerdo con el numeral 1.2 de la Matriz de Evaluación (se dará 1 punto extra por cada año adicional a lo requerido). De persistir el empate se aplicará la segunda instancia.  </w:t>
      </w:r>
    </w:p>
    <w:p w:rsidR="00000000" w:rsidDel="00000000" w:rsidP="00000000" w:rsidRDefault="00000000" w:rsidRPr="00000000" w14:paraId="00000088">
      <w:pPr>
        <w:numPr>
          <w:ilvl w:val="0"/>
          <w:numId w:val="1"/>
        </w:numP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Como segunda instancia:</w:t>
      </w:r>
      <w:r w:rsidDel="00000000" w:rsidR="00000000" w:rsidRPr="00000000">
        <w:rPr>
          <w:rFonts w:ascii="Times New Roman" w:cs="Times New Roman" w:eastAsia="Times New Roman" w:hAnsi="Times New Roman"/>
          <w:color w:val="000000"/>
          <w:rtl w:val="0"/>
        </w:rPr>
        <w:t xml:space="preserve"> Experiencia General de acuerdo con el numeral 1.3 de la Matriz de Evaluación (se dará 1 punto extra por cada año adicional a lo requerido).</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02"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PRESENTACION DE OFERTA:</w:t>
      </w:r>
      <w:r w:rsidDel="00000000" w:rsidR="00000000" w:rsidRPr="00000000">
        <w:rPr>
          <w:rtl w:val="0"/>
        </w:rPr>
      </w:r>
    </w:p>
    <w:p w:rsidR="00000000" w:rsidDel="00000000" w:rsidP="00000000" w:rsidRDefault="00000000" w:rsidRPr="00000000" w14:paraId="0000008B">
      <w:pPr>
        <w:spacing w:after="200" w:line="276"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200" w:line="276" w:lineRule="auto"/>
        <w:ind w:left="36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Hoja de Vida (Fotocopias de Títulos de Estudios Superiores): Indicando datos generales, la experiencia laboral a partir de la titulación, indicando cargo desempeñado, empresa, funciones realizadas y tiempo de desempeño. Y todos aquellos documentos que el CONSULTOR considere necesarios para acreditar su experiencia. </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502"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MODALIDAD DE SELECCIÓN </w:t>
      </w:r>
      <w:r w:rsidDel="00000000" w:rsidR="00000000" w:rsidRPr="00000000">
        <w:rPr>
          <w:rtl w:val="0"/>
        </w:rPr>
      </w:r>
    </w:p>
    <w:p w:rsidR="00000000" w:rsidDel="00000000" w:rsidP="00000000" w:rsidRDefault="00000000" w:rsidRPr="00000000" w14:paraId="0000008E">
      <w:pPr>
        <w:spacing w:line="276"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Selección del CONSULTOR estará basada en la comparación de los Curriculum Vitae (Hoja de Vida) de los profesionales interesados y de los resultados de la entrevista personal de los participantes que resulten calificados. La calificación se realizará en base a 100 puntos de evaluación de Hoja de Vida conforme a los criterios de evaluación abajo definidos.</w:t>
      </w:r>
    </w:p>
    <w:p w:rsidR="00000000" w:rsidDel="00000000" w:rsidP="00000000" w:rsidRDefault="00000000" w:rsidRPr="00000000" w14:paraId="0000008F">
      <w:pPr>
        <w:spacing w:line="276"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line="276"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porcentaje mínimo aceptable en el proceso de calificación se establece en setenta por ciento (70%) como calificación mínima para poder ser considera su Hoja de Vida.</w:t>
      </w:r>
    </w:p>
    <w:p w:rsidR="00000000" w:rsidDel="00000000" w:rsidP="00000000" w:rsidRDefault="00000000" w:rsidRPr="00000000" w14:paraId="00000091">
      <w:pPr>
        <w:spacing w:line="276"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ff000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GARANTIA DE CUMPLIMIENTO: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La Garantía de Cumplimiento de Contrato   se constituirá mediante retenciones equivalentes a 10% de cada pago parcial, en concepto de honorarios, mismos que serán devueltos al Consultor en conjunto con el pago del mes de diciembre después de aprobados todos los productos de la consultoría mediante Visto Bueno de la Dirección de Contrataciones.   </w:t>
      </w: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502" w:right="424" w:hanging="360"/>
        <w:jc w:val="both"/>
        <w:rPr>
          <w:rFonts w:ascii="Times New Roman" w:cs="Times New Roman" w:eastAsia="Times New Roman" w:hAnsi="Times New Roman"/>
          <w:b w:val="0"/>
          <w:i w:val="0"/>
          <w:smallCaps w:val="0"/>
          <w:strike w:val="0"/>
          <w:color w:val="ff0000"/>
          <w:shd w:fill="auto" w:val="clear"/>
          <w:vertAlign w:val="baseline"/>
        </w:rPr>
      </w:pPr>
      <w:r w:rsidDel="00000000" w:rsidR="00000000" w:rsidRPr="00000000">
        <w:rPr>
          <w:rFonts w:ascii="Times New Roman" w:cs="Times New Roman" w:eastAsia="Times New Roman" w:hAnsi="Times New Roman"/>
          <w:i w:val="1"/>
          <w:smallCaps w:val="0"/>
          <w:strike w:val="0"/>
          <w:color w:val="222222"/>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222222"/>
          <w:u w:val="none"/>
          <w:shd w:fill="auto" w:val="clear"/>
          <w:vertAlign w:val="baseline"/>
          <w:rtl w:val="0"/>
        </w:rPr>
        <w:t xml:space="preserve">SEDECOAS/FHIS, se reserva el derecho de declarar este proceso de selección suspendido, cancelado, o anulado cuando concurran circunstancias calificadas como imprevistos, caso fortuito o de fuerza mayor presentados en cualquier momento previo a la recepción de las manifestaciones de interés o a la adjudicación del contrato; sin que por ello incurra en responsabilidad alguna ante los participantes.”</w:t>
      </w:r>
      <w:r w:rsidDel="00000000" w:rsidR="00000000" w:rsidRPr="00000000">
        <w:rPr>
          <w:rtl w:val="0"/>
        </w:rPr>
      </w:r>
    </w:p>
    <w:p w:rsidR="00000000" w:rsidDel="00000000" w:rsidP="00000000" w:rsidRDefault="00000000" w:rsidRPr="00000000" w14:paraId="0000009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bookmarkStart w:colFirst="0" w:colLast="0" w:name="_heading=h.tyjcwt" w:id="5"/>
      <w:bookmarkEnd w:id="5"/>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left"/>
      <w:pPr>
        <w:ind w:left="502" w:hanging="360"/>
      </w:pPr>
      <w:rPr>
        <w:b w:val="1"/>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H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1EF8"/>
    <w:pPr>
      <w:spacing w:after="0" w:line="240" w:lineRule="auto"/>
    </w:pPr>
    <w:rPr>
      <w:rFonts w:ascii="Calibri" w:cs="Times New Roman" w:eastAsia="Calibri" w:hAnsi="Calibri"/>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aliases w:val="Bullets,References,List Bullet Mary,Lista vistosa - Énfasis 11,Celula,Citation List,본문(내용),List Paragraph (numbered (a)),Numbered List Paragraph,123 List Paragraph,List Paragraph1,Colorful List - Accent 11,Numbered Paragraph,Liste 1,Tab"/>
    <w:basedOn w:val="Normal"/>
    <w:link w:val="PrrafodelistaCar"/>
    <w:uiPriority w:val="34"/>
    <w:qFormat w:val="1"/>
    <w:rsid w:val="00AA1EF8"/>
    <w:pPr>
      <w:ind w:left="720"/>
      <w:contextualSpacing w:val="1"/>
    </w:pPr>
    <w:rPr>
      <w:lang w:eastAsia="x-none" w:val="en-US"/>
    </w:rPr>
  </w:style>
  <w:style w:type="character" w:styleId="PrrafodelistaCar" w:customStyle="1">
    <w:name w:val="Párrafo de lista Car"/>
    <w:aliases w:val="Bullets Car,References Car,List Bullet Mary Car,Lista vistosa - Énfasis 11 Car,Celula Car,Citation List Car,본문(내용) Car,List Paragraph (numbered (a)) Car,Numbered List Paragraph Car,123 List Paragraph Car,List Paragraph1 Car,Tab Car"/>
    <w:link w:val="Prrafodelista"/>
    <w:uiPriority w:val="34"/>
    <w:qFormat w:val="1"/>
    <w:locked w:val="1"/>
    <w:rsid w:val="00AA1EF8"/>
    <w:rPr>
      <w:rFonts w:ascii="Calibri" w:cs="Times New Roman" w:eastAsia="Calibri" w:hAnsi="Calibri"/>
      <w:sz w:val="24"/>
      <w:szCs w:val="24"/>
      <w:lang w:eastAsia="x-none" w:val="en-US"/>
    </w:rPr>
  </w:style>
  <w:style w:type="character" w:styleId="Refdecomentario">
    <w:name w:val="annotation reference"/>
    <w:uiPriority w:val="99"/>
    <w:semiHidden w:val="1"/>
    <w:unhideWhenUsed w:val="1"/>
    <w:rsid w:val="00AA1EF8"/>
    <w:rPr>
      <w:sz w:val="16"/>
      <w:szCs w:val="16"/>
    </w:rPr>
  </w:style>
  <w:style w:type="table" w:styleId="TableNormal" w:customStyle="1">
    <w:name w:val="Table Normal"/>
    <w:rsid w:val="00AA1EF8"/>
    <w:pPr>
      <w:spacing w:after="0" w:line="240" w:lineRule="auto"/>
    </w:pPr>
    <w:rPr>
      <w:rFonts w:ascii="Calibri" w:cs="Calibri" w:eastAsia="Calibri" w:hAnsi="Calibri"/>
      <w:sz w:val="24"/>
      <w:szCs w:val="24"/>
      <w:lang w:eastAsia="es-HN" w:val="es-GT"/>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4"/>
      <w:szCs w:val="24"/>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hcYTnu7nW5pufaGvkf+GWHtIg==">CgMxLjAyCGguZ2pkZ3hzMgloLjMwajB6bGwyCWguMWZvYjl0ZTIJaC4zem55c2g3MgloLjJldDkycDAyCGgudHlqY3d0OAByITEzb0piOEZiNC1GZWRORlpINjI3cENGOVFfVjZUaXFUNA==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2023-06-22T22:12:00Z</dcterms:created>
  <dc:creator>Edith Jackeline Mejia Gonzales - CONVIVIR</dc:creator>
</cp:coreProperties>
</file>