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A1" w:rsidRPr="00E64D1D" w:rsidRDefault="003A5DA1" w:rsidP="003A5DA1">
      <w:pPr>
        <w:rPr>
          <w:rFonts w:ascii="Arial" w:hAnsi="Arial" w:cs="Arial"/>
          <w:sz w:val="22"/>
          <w:szCs w:val="22"/>
          <w:lang w:val="es-ES"/>
        </w:rPr>
      </w:pPr>
    </w:p>
    <w:p w:rsidR="003A5DA1" w:rsidRPr="00E64D1D" w:rsidRDefault="003A5DA1" w:rsidP="003A5DA1">
      <w:pPr>
        <w:jc w:val="center"/>
        <w:rPr>
          <w:rFonts w:ascii="Arial" w:hAnsi="Arial" w:cs="Arial"/>
          <w:b/>
          <w:sz w:val="22"/>
          <w:szCs w:val="22"/>
          <w:lang w:val="es-ES"/>
        </w:rPr>
      </w:pPr>
      <w:r w:rsidRPr="00E64D1D">
        <w:rPr>
          <w:rFonts w:ascii="Arial" w:hAnsi="Arial" w:cs="Arial"/>
          <w:b/>
          <w:sz w:val="22"/>
          <w:szCs w:val="22"/>
          <w:lang w:val="es-ES"/>
        </w:rPr>
        <w:t>EMPRESA NACIONAL DE ENERGIA ELECTRICA (ENEE)</w:t>
      </w:r>
    </w:p>
    <w:p w:rsidR="003A5DA1" w:rsidRPr="00E64D1D" w:rsidRDefault="003A5DA1" w:rsidP="003A5DA1">
      <w:pPr>
        <w:jc w:val="center"/>
        <w:rPr>
          <w:rFonts w:ascii="Arial" w:hAnsi="Arial" w:cs="Arial"/>
          <w:b/>
          <w:sz w:val="22"/>
          <w:szCs w:val="22"/>
          <w:lang w:val="es-ES"/>
        </w:rPr>
      </w:pPr>
      <w:r w:rsidRPr="00E64D1D">
        <w:rPr>
          <w:rFonts w:ascii="Arial" w:hAnsi="Arial" w:cs="Arial"/>
          <w:b/>
          <w:sz w:val="22"/>
          <w:szCs w:val="22"/>
          <w:lang w:val="es-ES"/>
        </w:rPr>
        <w:t>PROYECTO MEJORA DE LA EFICIENCIA DEL SECTOR ENERGÍA (PROMEF)</w:t>
      </w:r>
    </w:p>
    <w:p w:rsidR="003A5DA1" w:rsidRPr="00121CA5" w:rsidRDefault="008A65A6" w:rsidP="003A5DA1">
      <w:pPr>
        <w:jc w:val="center"/>
        <w:rPr>
          <w:rFonts w:ascii="Arial" w:hAnsi="Arial" w:cs="Arial"/>
          <w:b/>
          <w:sz w:val="22"/>
          <w:szCs w:val="22"/>
          <w:lang w:val="pt-BR"/>
        </w:rPr>
      </w:pPr>
      <w:r w:rsidRPr="008A65A6">
        <w:rPr>
          <w:rFonts w:ascii="Arial" w:hAnsi="Arial" w:cs="Arial"/>
          <w:b/>
          <w:sz w:val="22"/>
          <w:szCs w:val="22"/>
          <w:lang w:val="pt-BR"/>
        </w:rPr>
        <w:t>CRÉDITO IDA-4536-HO</w:t>
      </w:r>
    </w:p>
    <w:p w:rsidR="003A5DA1" w:rsidRPr="00121CA5" w:rsidRDefault="003A5DA1" w:rsidP="003A5DA1">
      <w:pPr>
        <w:jc w:val="center"/>
        <w:rPr>
          <w:rFonts w:ascii="Arial" w:hAnsi="Arial" w:cs="Arial"/>
          <w:b/>
          <w:sz w:val="22"/>
          <w:szCs w:val="22"/>
          <w:lang w:val="pt-BR"/>
        </w:rPr>
      </w:pPr>
    </w:p>
    <w:p w:rsidR="003A5DA1" w:rsidRPr="00121CA5" w:rsidRDefault="008A65A6" w:rsidP="003A5DA1">
      <w:pPr>
        <w:pStyle w:val="Ttulo1"/>
        <w:numPr>
          <w:ilvl w:val="0"/>
          <w:numId w:val="0"/>
        </w:numPr>
        <w:ind w:left="360"/>
        <w:jc w:val="center"/>
        <w:rPr>
          <w:sz w:val="22"/>
          <w:szCs w:val="22"/>
          <w:lang w:val="pt-BR"/>
        </w:rPr>
      </w:pPr>
      <w:bookmarkStart w:id="0" w:name="_Toc319982359"/>
      <w:bookmarkStart w:id="1" w:name="_Toc347193367"/>
      <w:bookmarkStart w:id="2" w:name="_Toc349124259"/>
      <w:r w:rsidRPr="008A65A6">
        <w:rPr>
          <w:sz w:val="22"/>
          <w:szCs w:val="22"/>
          <w:lang w:val="pt-BR"/>
        </w:rPr>
        <w:t>TERMINOS DE REFERENCIA</w:t>
      </w:r>
      <w:bookmarkEnd w:id="0"/>
      <w:bookmarkEnd w:id="1"/>
      <w:bookmarkEnd w:id="2"/>
    </w:p>
    <w:p w:rsidR="006F6148" w:rsidRPr="00121CA5" w:rsidRDefault="006F6148" w:rsidP="006F6148">
      <w:pPr>
        <w:rPr>
          <w:rFonts w:ascii="Arial" w:hAnsi="Arial" w:cs="Arial"/>
          <w:sz w:val="22"/>
          <w:szCs w:val="22"/>
          <w:lang w:val="pt-BR"/>
        </w:rPr>
      </w:pPr>
    </w:p>
    <w:p w:rsidR="003A5DA1" w:rsidRPr="00E64D1D" w:rsidRDefault="006F6148" w:rsidP="003A5DA1">
      <w:pPr>
        <w:jc w:val="center"/>
        <w:rPr>
          <w:rFonts w:ascii="Arial" w:hAnsi="Arial" w:cs="Arial"/>
          <w:b/>
          <w:sz w:val="22"/>
          <w:szCs w:val="22"/>
          <w:lang w:val="es-MX"/>
        </w:rPr>
      </w:pPr>
      <w:r w:rsidRPr="00E64D1D">
        <w:rPr>
          <w:rFonts w:ascii="Arial" w:hAnsi="Arial" w:cs="Arial"/>
          <w:b/>
          <w:caps/>
          <w:sz w:val="22"/>
          <w:szCs w:val="22"/>
          <w:lang w:val="es-MX"/>
        </w:rPr>
        <w:t>Consultoria para fortalecer la Contratación de suministros de energía</w:t>
      </w:r>
    </w:p>
    <w:p w:rsidR="003A5DA1" w:rsidRPr="00E64D1D" w:rsidRDefault="003A5DA1" w:rsidP="003A5DA1">
      <w:pPr>
        <w:rPr>
          <w:rFonts w:ascii="Arial" w:hAnsi="Arial" w:cs="Arial"/>
          <w:sz w:val="22"/>
          <w:szCs w:val="22"/>
          <w:lang w:val="es-ES"/>
        </w:rPr>
      </w:pPr>
    </w:p>
    <w:p w:rsidR="003A5DA1" w:rsidRPr="00E64D1D" w:rsidRDefault="003A5DA1" w:rsidP="00E64D1D">
      <w:pPr>
        <w:pStyle w:val="Prrafodelista"/>
        <w:numPr>
          <w:ilvl w:val="0"/>
          <w:numId w:val="25"/>
        </w:numPr>
        <w:rPr>
          <w:rFonts w:ascii="Arial" w:hAnsi="Arial" w:cs="Arial"/>
          <w:b/>
          <w:sz w:val="22"/>
          <w:szCs w:val="22"/>
          <w:lang w:val="es-MX"/>
        </w:rPr>
      </w:pPr>
      <w:r w:rsidRPr="00E64D1D">
        <w:rPr>
          <w:rFonts w:ascii="Arial" w:hAnsi="Arial" w:cs="Arial"/>
          <w:b/>
          <w:sz w:val="22"/>
          <w:szCs w:val="22"/>
          <w:lang w:val="es-MX"/>
        </w:rPr>
        <w:t>ANTECEDENTES</w:t>
      </w:r>
    </w:p>
    <w:p w:rsidR="00E64D1D" w:rsidRPr="00E64D1D" w:rsidRDefault="00E64D1D" w:rsidP="00E64D1D">
      <w:pPr>
        <w:pStyle w:val="Prrafodelista"/>
        <w:ind w:left="720"/>
        <w:rPr>
          <w:rFonts w:ascii="Arial" w:hAnsi="Arial" w:cs="Arial"/>
          <w:b/>
          <w:sz w:val="22"/>
          <w:szCs w:val="22"/>
          <w:lang w:val="es-MX"/>
        </w:rPr>
      </w:pPr>
    </w:p>
    <w:p w:rsidR="00007A14" w:rsidRPr="00E64D1D" w:rsidRDefault="00007A14" w:rsidP="00FA75F4">
      <w:pPr>
        <w:spacing w:after="240" w:line="240" w:lineRule="atLeast"/>
        <w:ind w:left="360"/>
        <w:jc w:val="both"/>
        <w:rPr>
          <w:rFonts w:ascii="Arial" w:hAnsi="Arial" w:cs="Arial"/>
          <w:sz w:val="22"/>
          <w:szCs w:val="22"/>
          <w:lang w:val="es-ES"/>
        </w:rPr>
      </w:pPr>
      <w:r w:rsidRPr="00E64D1D">
        <w:rPr>
          <w:rFonts w:ascii="Arial" w:hAnsi="Arial" w:cs="Arial"/>
          <w:sz w:val="22"/>
          <w:szCs w:val="22"/>
          <w:lang w:val="es-ES"/>
        </w:rPr>
        <w:t>La Ley Marco del Subsector Eléctrico establece como método de cálculo para la determinación del costo de generación, el Costo Marginal de Corto Plazo, el cual es utilizado como un insumo en el cálculo de la Tarifa en Barra, asimismo constituye un parámetro muy importante para determinar el precio de contratos de suministro con la Empresa Nacional de Energía Eléctrica. Finalmente, el  Costo Marginal de Corto Plazo, es utilizado además, para fijar el incentivo a los generadores renovables.</w:t>
      </w:r>
    </w:p>
    <w:p w:rsidR="00007A14" w:rsidRPr="00E64D1D" w:rsidRDefault="006F6148" w:rsidP="00FA75F4">
      <w:pPr>
        <w:pStyle w:val="Default"/>
        <w:ind w:left="360"/>
        <w:jc w:val="both"/>
        <w:rPr>
          <w:sz w:val="22"/>
          <w:szCs w:val="22"/>
        </w:rPr>
      </w:pPr>
      <w:r w:rsidRPr="00E64D1D">
        <w:rPr>
          <w:sz w:val="22"/>
          <w:szCs w:val="22"/>
        </w:rPr>
        <w:t xml:space="preserve">La ley marco establece que el costo de generación se hará en base al costo marginal tomado en base a las inversiones en generación de los próximos 5 años, sin embargo este método ha sido bastante criticado, ya que el factor térmico influye fuertemente en el costo sin embargo las plantas hidroeléctricas son las que marginan el despacho de la energía pero con valores de operación y mantenimiento, provocando una distorsión en el costo, por otro lado este costo marginal esta indexado en las tarifas, provocando un descuadre entre la energía que se compra versus la que se vende, provocando un diferencial de hasta $0.02 dólares por cada </w:t>
      </w:r>
      <w:proofErr w:type="spellStart"/>
      <w:r w:rsidRPr="00E64D1D">
        <w:rPr>
          <w:sz w:val="22"/>
          <w:szCs w:val="22"/>
        </w:rPr>
        <w:t>Kwh</w:t>
      </w:r>
      <w:proofErr w:type="spellEnd"/>
      <w:r w:rsidRPr="00E64D1D">
        <w:rPr>
          <w:sz w:val="22"/>
          <w:szCs w:val="22"/>
        </w:rPr>
        <w:t>, aumentando las pérdidas económicas para la ENEE.</w:t>
      </w:r>
    </w:p>
    <w:p w:rsidR="00007A14" w:rsidRPr="00E64D1D" w:rsidRDefault="00007A14" w:rsidP="00FA75F4">
      <w:pPr>
        <w:pStyle w:val="Default"/>
        <w:ind w:left="360"/>
        <w:rPr>
          <w:sz w:val="22"/>
          <w:szCs w:val="22"/>
        </w:rPr>
      </w:pPr>
    </w:p>
    <w:p w:rsidR="00007A14" w:rsidRPr="00E64D1D" w:rsidRDefault="00FD03EE" w:rsidP="00E64D1D">
      <w:pPr>
        <w:pStyle w:val="Default"/>
        <w:ind w:left="426"/>
        <w:jc w:val="both"/>
        <w:rPr>
          <w:bCs/>
          <w:sz w:val="22"/>
          <w:szCs w:val="22"/>
        </w:rPr>
      </w:pPr>
      <w:r w:rsidRPr="00E64D1D">
        <w:rPr>
          <w:bCs/>
          <w:sz w:val="22"/>
          <w:szCs w:val="22"/>
        </w:rPr>
        <w:t xml:space="preserve">Actualmente la ENEE compra un 70% de la energía que vende, absorbiendo un 90% de los ingresos con contratos individualizados para cada fuente de generación, según intereses de cada una de las partes, se cree que esto provoca serios inconvenientes porque no tienen relación con el costo marginal, por lo que se hace necesario </w:t>
      </w:r>
      <w:r w:rsidR="00B5292C" w:rsidRPr="00E64D1D">
        <w:rPr>
          <w:bCs/>
          <w:sz w:val="22"/>
          <w:szCs w:val="22"/>
        </w:rPr>
        <w:t xml:space="preserve">eliminar esta </w:t>
      </w:r>
      <w:r w:rsidR="00CB28B4" w:rsidRPr="00E64D1D">
        <w:rPr>
          <w:bCs/>
          <w:sz w:val="22"/>
          <w:szCs w:val="22"/>
        </w:rPr>
        <w:t>distorsión</w:t>
      </w:r>
      <w:r w:rsidR="00B5292C" w:rsidRPr="00E64D1D">
        <w:rPr>
          <w:bCs/>
          <w:sz w:val="22"/>
          <w:szCs w:val="22"/>
        </w:rPr>
        <w:t xml:space="preserve"> es</w:t>
      </w:r>
      <w:r w:rsidR="00CB28B4" w:rsidRPr="00E64D1D">
        <w:rPr>
          <w:bCs/>
          <w:sz w:val="22"/>
          <w:szCs w:val="22"/>
        </w:rPr>
        <w:t>tandarizando los</w:t>
      </w:r>
      <w:r w:rsidRPr="00E64D1D">
        <w:rPr>
          <w:bCs/>
          <w:sz w:val="22"/>
          <w:szCs w:val="22"/>
        </w:rPr>
        <w:t xml:space="preserve"> contratos y así erogar un costo de generación </w:t>
      </w:r>
      <w:r w:rsidR="0009216C" w:rsidRPr="00E64D1D">
        <w:rPr>
          <w:bCs/>
          <w:sz w:val="22"/>
          <w:szCs w:val="22"/>
        </w:rPr>
        <w:t>más</w:t>
      </w:r>
      <w:r w:rsidRPr="00E64D1D">
        <w:rPr>
          <w:bCs/>
          <w:sz w:val="22"/>
          <w:szCs w:val="22"/>
        </w:rPr>
        <w:t xml:space="preserve"> de acorde a la realidad.</w:t>
      </w:r>
    </w:p>
    <w:p w:rsidR="003A5DA1" w:rsidRPr="00E64D1D" w:rsidRDefault="003A5DA1" w:rsidP="003A5DA1">
      <w:pPr>
        <w:ind w:left="360"/>
        <w:jc w:val="both"/>
        <w:rPr>
          <w:rFonts w:ascii="Arial" w:hAnsi="Arial" w:cs="Arial"/>
          <w:b/>
          <w:sz w:val="22"/>
          <w:szCs w:val="22"/>
          <w:lang w:val="es-MX"/>
        </w:rPr>
      </w:pPr>
    </w:p>
    <w:p w:rsidR="003A5DA1" w:rsidRPr="00E64D1D" w:rsidRDefault="003A5DA1" w:rsidP="00E64D1D">
      <w:pPr>
        <w:pStyle w:val="Prrafodelista"/>
        <w:numPr>
          <w:ilvl w:val="0"/>
          <w:numId w:val="25"/>
        </w:numPr>
        <w:jc w:val="both"/>
        <w:rPr>
          <w:rFonts w:ascii="Arial" w:hAnsi="Arial" w:cs="Arial"/>
          <w:b/>
          <w:sz w:val="22"/>
          <w:szCs w:val="22"/>
          <w:lang w:val="es-MX"/>
        </w:rPr>
      </w:pPr>
      <w:r w:rsidRPr="00E64D1D">
        <w:rPr>
          <w:rFonts w:ascii="Arial" w:hAnsi="Arial" w:cs="Arial"/>
          <w:b/>
          <w:sz w:val="22"/>
          <w:szCs w:val="22"/>
          <w:lang w:val="es-MX"/>
        </w:rPr>
        <w:t>OBJETIVO</w:t>
      </w:r>
    </w:p>
    <w:p w:rsidR="00E64D1D" w:rsidRPr="00E64D1D" w:rsidRDefault="00E64D1D" w:rsidP="00E64D1D">
      <w:pPr>
        <w:pStyle w:val="Prrafodelista"/>
        <w:ind w:left="720"/>
        <w:jc w:val="both"/>
        <w:rPr>
          <w:rFonts w:ascii="Arial" w:hAnsi="Arial" w:cs="Arial"/>
          <w:b/>
          <w:sz w:val="22"/>
          <w:szCs w:val="22"/>
          <w:lang w:val="es-MX"/>
        </w:rPr>
      </w:pPr>
    </w:p>
    <w:p w:rsidR="00FD03EE" w:rsidRPr="00E64D1D" w:rsidRDefault="00FD03EE" w:rsidP="009519C7">
      <w:pPr>
        <w:pStyle w:val="Prrafodelista"/>
        <w:ind w:left="360"/>
        <w:jc w:val="both"/>
        <w:rPr>
          <w:rFonts w:ascii="Arial" w:hAnsi="Arial" w:cs="Arial"/>
          <w:sz w:val="22"/>
          <w:szCs w:val="22"/>
          <w:lang w:val="es-ES"/>
        </w:rPr>
      </w:pPr>
      <w:r w:rsidRPr="00E64D1D">
        <w:rPr>
          <w:rFonts w:ascii="Arial" w:hAnsi="Arial" w:cs="Arial"/>
          <w:sz w:val="22"/>
          <w:szCs w:val="22"/>
          <w:lang w:val="es-ES"/>
        </w:rPr>
        <w:t xml:space="preserve">Asesorar </w:t>
      </w:r>
      <w:r w:rsidR="0009216C" w:rsidRPr="00E64D1D">
        <w:rPr>
          <w:rFonts w:ascii="Arial" w:hAnsi="Arial" w:cs="Arial"/>
          <w:sz w:val="22"/>
          <w:szCs w:val="22"/>
          <w:lang w:val="es-ES"/>
        </w:rPr>
        <w:t xml:space="preserve">a </w:t>
      </w:r>
      <w:r w:rsidRPr="00E64D1D">
        <w:rPr>
          <w:rFonts w:ascii="Arial" w:hAnsi="Arial" w:cs="Arial"/>
          <w:sz w:val="22"/>
          <w:szCs w:val="22"/>
          <w:lang w:val="es-ES"/>
        </w:rPr>
        <w:t xml:space="preserve">la ENEE </w:t>
      </w:r>
      <w:r w:rsidR="00121CA5">
        <w:rPr>
          <w:rFonts w:ascii="Arial" w:hAnsi="Arial" w:cs="Arial"/>
          <w:sz w:val="22"/>
          <w:szCs w:val="22"/>
          <w:lang w:val="es-ES"/>
        </w:rPr>
        <w:t>en la preparación</w:t>
      </w:r>
      <w:r w:rsidR="00E64830">
        <w:rPr>
          <w:rFonts w:ascii="Arial" w:hAnsi="Arial" w:cs="Arial"/>
          <w:sz w:val="22"/>
          <w:szCs w:val="22"/>
          <w:lang w:val="es-ES"/>
        </w:rPr>
        <w:t xml:space="preserve"> </w:t>
      </w:r>
      <w:r w:rsidR="00121CA5">
        <w:rPr>
          <w:rFonts w:ascii="Arial" w:hAnsi="Arial" w:cs="Arial"/>
          <w:sz w:val="22"/>
          <w:szCs w:val="22"/>
          <w:lang w:val="es-ES"/>
        </w:rPr>
        <w:t>de contratos estándar para contratos de compra de energía por parte de la ENEE, reflejando las mejores prácticas internacionales y las condiciones específicas del sector eléctrico de Honduras. Los contratos podrán ser específicos para cada tecnología o tipo de planta, conforme las conclusiones de la evaluación a ser realizada por el consultor</w:t>
      </w:r>
      <w:r w:rsidR="006A2B7C">
        <w:rPr>
          <w:rFonts w:ascii="Arial" w:hAnsi="Arial" w:cs="Arial"/>
          <w:sz w:val="22"/>
          <w:szCs w:val="22"/>
          <w:lang w:val="es-ES"/>
        </w:rPr>
        <w:t xml:space="preserve">. El diseño de los contratos deberá promover </w:t>
      </w:r>
      <w:r w:rsidR="00B30DD3">
        <w:rPr>
          <w:rFonts w:ascii="Arial" w:hAnsi="Arial" w:cs="Arial"/>
          <w:sz w:val="22"/>
          <w:szCs w:val="22"/>
          <w:lang w:val="es-ES"/>
        </w:rPr>
        <w:t xml:space="preserve"> procedimientos competitivos para </w:t>
      </w:r>
      <w:r w:rsidR="006A2B7C">
        <w:rPr>
          <w:rFonts w:ascii="Arial" w:hAnsi="Arial" w:cs="Arial"/>
          <w:sz w:val="22"/>
          <w:szCs w:val="22"/>
          <w:lang w:val="es-ES"/>
        </w:rPr>
        <w:t xml:space="preserve">la </w:t>
      </w:r>
      <w:r w:rsidRPr="00E64D1D">
        <w:rPr>
          <w:rFonts w:ascii="Arial" w:hAnsi="Arial" w:cs="Arial"/>
          <w:sz w:val="22"/>
          <w:szCs w:val="22"/>
          <w:lang w:val="es-ES"/>
        </w:rPr>
        <w:t xml:space="preserve"> compra de energía, y que reflejen un costo normalizado para cada tipo de fuente, tomando en consideración la ley marco del subsector eléctrico y la metodología utilizada por la ENEE sobre costo marginal de corto plaz</w:t>
      </w:r>
      <w:r w:rsidR="00B30DD3">
        <w:rPr>
          <w:rFonts w:ascii="Arial" w:hAnsi="Arial" w:cs="Arial"/>
          <w:sz w:val="22"/>
          <w:szCs w:val="22"/>
          <w:lang w:val="es-ES"/>
        </w:rPr>
        <w:t>o.</w:t>
      </w:r>
    </w:p>
    <w:p w:rsidR="009519C7" w:rsidRPr="00E64D1D" w:rsidRDefault="009519C7" w:rsidP="009519C7">
      <w:pPr>
        <w:pStyle w:val="Prrafodelista"/>
        <w:ind w:left="360"/>
        <w:jc w:val="both"/>
        <w:rPr>
          <w:rFonts w:ascii="Arial" w:hAnsi="Arial" w:cs="Arial"/>
          <w:sz w:val="22"/>
          <w:szCs w:val="22"/>
          <w:lang w:val="es-MX"/>
        </w:rPr>
      </w:pPr>
    </w:p>
    <w:p w:rsidR="003A5DA1" w:rsidRDefault="00E64D1D" w:rsidP="00E64D1D">
      <w:pPr>
        <w:pStyle w:val="Prrafodelista"/>
        <w:numPr>
          <w:ilvl w:val="0"/>
          <w:numId w:val="25"/>
        </w:numPr>
        <w:jc w:val="both"/>
        <w:rPr>
          <w:rFonts w:ascii="Arial" w:hAnsi="Arial" w:cs="Arial"/>
          <w:b/>
          <w:sz w:val="22"/>
          <w:szCs w:val="22"/>
          <w:lang w:val="es-HN"/>
        </w:rPr>
      </w:pPr>
      <w:r>
        <w:rPr>
          <w:rFonts w:ascii="Arial" w:hAnsi="Arial" w:cs="Arial"/>
          <w:b/>
          <w:sz w:val="22"/>
          <w:szCs w:val="22"/>
          <w:lang w:val="es-HN"/>
        </w:rPr>
        <w:t>ALCANCE DE LOS SERVICIOS</w:t>
      </w:r>
    </w:p>
    <w:p w:rsidR="00E64D1D" w:rsidRDefault="00E64D1D" w:rsidP="00E64D1D">
      <w:pPr>
        <w:jc w:val="both"/>
        <w:rPr>
          <w:rFonts w:ascii="Arial" w:hAnsi="Arial" w:cs="Arial"/>
          <w:b/>
          <w:sz w:val="22"/>
          <w:szCs w:val="22"/>
          <w:lang w:val="es-HN"/>
        </w:rPr>
      </w:pPr>
    </w:p>
    <w:p w:rsidR="00E64D1D" w:rsidRPr="00E67051" w:rsidRDefault="00E64D1D" w:rsidP="00E64D1D">
      <w:pPr>
        <w:ind w:left="360"/>
        <w:jc w:val="both"/>
        <w:rPr>
          <w:rFonts w:ascii="Arial" w:hAnsi="Arial" w:cs="Arial"/>
          <w:sz w:val="22"/>
          <w:szCs w:val="22"/>
          <w:lang w:val="es-HN"/>
        </w:rPr>
      </w:pPr>
      <w:r w:rsidRPr="00E67051">
        <w:rPr>
          <w:rFonts w:ascii="Arial" w:hAnsi="Arial" w:cs="Arial"/>
          <w:sz w:val="22"/>
          <w:szCs w:val="22"/>
          <w:lang w:val="es-HN"/>
        </w:rPr>
        <w:lastRenderedPageBreak/>
        <w:t xml:space="preserve">Para el logro del objetivo antes mencionado, </w:t>
      </w:r>
      <w:r w:rsidR="00170A6C">
        <w:rPr>
          <w:rFonts w:ascii="Arial" w:hAnsi="Arial" w:cs="Arial"/>
          <w:sz w:val="22"/>
          <w:szCs w:val="22"/>
          <w:lang w:val="es-HN"/>
        </w:rPr>
        <w:t xml:space="preserve"> el consultor</w:t>
      </w:r>
      <w:r w:rsidRPr="00E67051">
        <w:rPr>
          <w:rFonts w:ascii="Arial" w:hAnsi="Arial" w:cs="Arial"/>
          <w:sz w:val="22"/>
          <w:szCs w:val="22"/>
          <w:lang w:val="es-HN"/>
        </w:rPr>
        <w:t xml:space="preserve"> deberá realizar</w:t>
      </w:r>
      <w:r>
        <w:rPr>
          <w:rFonts w:ascii="Arial" w:hAnsi="Arial" w:cs="Arial"/>
          <w:sz w:val="22"/>
          <w:szCs w:val="22"/>
          <w:lang w:val="es-HN"/>
        </w:rPr>
        <w:t>,</w:t>
      </w:r>
      <w:r w:rsidRPr="00E67051">
        <w:rPr>
          <w:rFonts w:ascii="Arial" w:hAnsi="Arial" w:cs="Arial"/>
          <w:sz w:val="22"/>
          <w:szCs w:val="22"/>
          <w:lang w:val="es-HN"/>
        </w:rPr>
        <w:t xml:space="preserve"> las siguientes actividades:</w:t>
      </w:r>
    </w:p>
    <w:p w:rsidR="00E64D1D" w:rsidRPr="00E64D1D" w:rsidRDefault="00E64D1D" w:rsidP="00E64D1D">
      <w:pPr>
        <w:pStyle w:val="Prrafodelista"/>
        <w:ind w:left="720"/>
        <w:jc w:val="both"/>
        <w:rPr>
          <w:rFonts w:ascii="Arial" w:hAnsi="Arial" w:cs="Arial"/>
          <w:b/>
          <w:sz w:val="22"/>
          <w:szCs w:val="22"/>
          <w:lang w:val="es-HN"/>
        </w:rPr>
      </w:pPr>
    </w:p>
    <w:p w:rsidR="00FD03EE" w:rsidRPr="00E64D1D" w:rsidRDefault="008A65A6" w:rsidP="00FA75F4">
      <w:pPr>
        <w:ind w:left="360"/>
        <w:jc w:val="both"/>
        <w:rPr>
          <w:rFonts w:ascii="Arial" w:hAnsi="Arial" w:cs="Arial"/>
          <w:sz w:val="22"/>
          <w:szCs w:val="22"/>
          <w:lang w:val="es-ES"/>
        </w:rPr>
      </w:pPr>
      <w:r w:rsidRPr="008A65A6">
        <w:rPr>
          <w:rFonts w:ascii="Arial" w:hAnsi="Arial" w:cs="Arial"/>
          <w:b/>
          <w:sz w:val="22"/>
          <w:szCs w:val="22"/>
          <w:lang w:val="es-HN"/>
        </w:rPr>
        <w:t>Actividad 1:</w:t>
      </w:r>
      <w:r w:rsidR="00E64830">
        <w:rPr>
          <w:rFonts w:ascii="Arial" w:hAnsi="Arial" w:cs="Arial"/>
          <w:b/>
          <w:sz w:val="22"/>
          <w:szCs w:val="22"/>
          <w:lang w:val="es-HN"/>
        </w:rPr>
        <w:t xml:space="preserve"> </w:t>
      </w:r>
      <w:r w:rsidR="00FA75F4" w:rsidRPr="00E64D1D">
        <w:rPr>
          <w:rFonts w:ascii="Arial" w:hAnsi="Arial" w:cs="Arial"/>
          <w:sz w:val="22"/>
          <w:szCs w:val="22"/>
          <w:lang w:val="es-HN"/>
        </w:rPr>
        <w:t>A</w:t>
      </w:r>
      <w:r w:rsidR="009519C7" w:rsidRPr="00E64D1D">
        <w:rPr>
          <w:rFonts w:ascii="Arial" w:hAnsi="Arial" w:cs="Arial"/>
          <w:sz w:val="22"/>
          <w:szCs w:val="22"/>
          <w:lang w:val="es-HN"/>
        </w:rPr>
        <w:t>nalizar el</w:t>
      </w:r>
      <w:r w:rsidR="00FA75F4" w:rsidRPr="00E64D1D">
        <w:rPr>
          <w:rFonts w:ascii="Arial" w:hAnsi="Arial" w:cs="Arial"/>
          <w:sz w:val="22"/>
          <w:szCs w:val="22"/>
          <w:lang w:val="es-ES"/>
        </w:rPr>
        <w:t>m</w:t>
      </w:r>
      <w:r w:rsidR="00B65B59" w:rsidRPr="00E64D1D">
        <w:rPr>
          <w:rFonts w:ascii="Arial" w:hAnsi="Arial" w:cs="Arial"/>
          <w:sz w:val="22"/>
          <w:szCs w:val="22"/>
          <w:lang w:val="es-ES"/>
        </w:rPr>
        <w:t>arco legal y normas específicas elaboradas por la CNE y ENEE</w:t>
      </w:r>
      <w:r w:rsidR="00FD03EE" w:rsidRPr="00E64D1D">
        <w:rPr>
          <w:rFonts w:ascii="Arial" w:hAnsi="Arial" w:cs="Arial"/>
          <w:sz w:val="22"/>
          <w:szCs w:val="22"/>
          <w:lang w:val="es-ES"/>
        </w:rPr>
        <w:t xml:space="preserve"> para normalizar los contratos de compra de energía</w:t>
      </w:r>
      <w:r w:rsidR="00E64D1D">
        <w:rPr>
          <w:rFonts w:ascii="Arial" w:hAnsi="Arial" w:cs="Arial"/>
          <w:sz w:val="22"/>
          <w:szCs w:val="22"/>
          <w:lang w:val="es-ES"/>
        </w:rPr>
        <w:t>.</w:t>
      </w:r>
    </w:p>
    <w:p w:rsidR="009519C7" w:rsidRPr="00E64D1D" w:rsidRDefault="009519C7" w:rsidP="00FA75F4">
      <w:pPr>
        <w:ind w:left="360"/>
        <w:jc w:val="both"/>
        <w:rPr>
          <w:rFonts w:ascii="Arial" w:hAnsi="Arial" w:cs="Arial"/>
          <w:sz w:val="22"/>
          <w:szCs w:val="22"/>
          <w:lang w:val="es-ES"/>
        </w:rPr>
      </w:pPr>
    </w:p>
    <w:p w:rsidR="00FD03EE" w:rsidRDefault="008A65A6" w:rsidP="00FA75F4">
      <w:pPr>
        <w:ind w:left="360"/>
        <w:jc w:val="both"/>
        <w:rPr>
          <w:rFonts w:ascii="Arial" w:hAnsi="Arial" w:cs="Arial"/>
          <w:sz w:val="22"/>
          <w:szCs w:val="22"/>
          <w:lang w:val="es-ES"/>
        </w:rPr>
      </w:pPr>
      <w:r w:rsidRPr="008A65A6">
        <w:rPr>
          <w:rFonts w:ascii="Arial" w:hAnsi="Arial" w:cs="Arial"/>
          <w:b/>
          <w:sz w:val="22"/>
          <w:szCs w:val="22"/>
          <w:lang w:val="es-ES"/>
        </w:rPr>
        <w:t>Actividad 2:</w:t>
      </w:r>
      <w:r w:rsidR="00E64830">
        <w:rPr>
          <w:rFonts w:ascii="Arial" w:hAnsi="Arial" w:cs="Arial"/>
          <w:b/>
          <w:sz w:val="22"/>
          <w:szCs w:val="22"/>
          <w:lang w:val="es-ES"/>
        </w:rPr>
        <w:t xml:space="preserve"> </w:t>
      </w:r>
      <w:r w:rsidR="00121CA5">
        <w:rPr>
          <w:rFonts w:ascii="Arial" w:hAnsi="Arial" w:cs="Arial"/>
          <w:sz w:val="22"/>
          <w:szCs w:val="22"/>
          <w:lang w:val="es-ES"/>
        </w:rPr>
        <w:t>Proponer los contenidos esenciales de contratos estándar para contratos de compra de energía por parte de la ENEE, reflejando las mejores prácticas internacionales y las condiciones específicasdel sector eléctrico de Honduras. Los contratos podrán ser específicos para cada tecnología o tipo de planta, conforme las conclusiones de la evaluacióna ser realizada por el consultor.</w:t>
      </w:r>
    </w:p>
    <w:p w:rsidR="00E64D1D" w:rsidRPr="00E64D1D" w:rsidRDefault="00E64D1D" w:rsidP="00E64D1D">
      <w:pPr>
        <w:jc w:val="both"/>
        <w:rPr>
          <w:rFonts w:ascii="Arial" w:hAnsi="Arial" w:cs="Arial"/>
          <w:sz w:val="22"/>
          <w:szCs w:val="22"/>
          <w:lang w:val="es-ES"/>
        </w:rPr>
      </w:pPr>
    </w:p>
    <w:p w:rsidR="00E64D1D" w:rsidRPr="00E64D1D" w:rsidRDefault="00E64D1D" w:rsidP="00E64D1D">
      <w:pPr>
        <w:pStyle w:val="Prrafodelista"/>
        <w:numPr>
          <w:ilvl w:val="0"/>
          <w:numId w:val="25"/>
        </w:numPr>
        <w:jc w:val="both"/>
        <w:rPr>
          <w:rFonts w:ascii="Arial" w:hAnsi="Arial" w:cs="Arial"/>
          <w:b/>
          <w:sz w:val="22"/>
          <w:szCs w:val="22"/>
          <w:lang w:val="es-MX"/>
        </w:rPr>
      </w:pPr>
      <w:r w:rsidRPr="00E64D1D">
        <w:rPr>
          <w:rFonts w:ascii="Arial" w:hAnsi="Arial" w:cs="Arial"/>
          <w:b/>
          <w:sz w:val="22"/>
          <w:szCs w:val="22"/>
          <w:lang w:val="es-MX"/>
        </w:rPr>
        <w:t>DURACION</w:t>
      </w:r>
    </w:p>
    <w:p w:rsidR="00E64D1D" w:rsidRPr="00E64D1D" w:rsidRDefault="00E64D1D" w:rsidP="00E64D1D">
      <w:pPr>
        <w:jc w:val="both"/>
        <w:rPr>
          <w:rFonts w:ascii="Arial" w:hAnsi="Arial" w:cs="Arial"/>
          <w:b/>
          <w:sz w:val="22"/>
          <w:szCs w:val="22"/>
          <w:lang w:val="es-MX"/>
        </w:rPr>
      </w:pPr>
    </w:p>
    <w:p w:rsidR="00E64D1D" w:rsidRPr="00E64D1D" w:rsidRDefault="00E64D1D" w:rsidP="00E64D1D">
      <w:pPr>
        <w:ind w:left="360"/>
        <w:jc w:val="both"/>
        <w:rPr>
          <w:rFonts w:ascii="Arial" w:hAnsi="Arial" w:cs="Arial"/>
          <w:b/>
          <w:sz w:val="22"/>
          <w:szCs w:val="22"/>
          <w:lang w:val="es-MX"/>
        </w:rPr>
      </w:pPr>
      <w:r w:rsidRPr="00E64D1D">
        <w:rPr>
          <w:rFonts w:ascii="Arial" w:hAnsi="Arial" w:cs="Arial"/>
          <w:sz w:val="22"/>
          <w:szCs w:val="22"/>
          <w:lang w:val="es-MX"/>
        </w:rPr>
        <w:t xml:space="preserve">La asesoría se deberá ejecutar en un plazo de </w:t>
      </w:r>
      <w:r w:rsidR="00E64830">
        <w:rPr>
          <w:rFonts w:ascii="Arial" w:hAnsi="Arial" w:cs="Arial"/>
          <w:sz w:val="22"/>
          <w:szCs w:val="22"/>
          <w:lang w:val="es-MX"/>
        </w:rPr>
        <w:t>dos</w:t>
      </w:r>
      <w:r w:rsidRPr="00E64D1D">
        <w:rPr>
          <w:rFonts w:ascii="Arial" w:hAnsi="Arial" w:cs="Arial"/>
          <w:sz w:val="22"/>
          <w:szCs w:val="22"/>
          <w:lang w:val="es-MX"/>
        </w:rPr>
        <w:t xml:space="preserve"> meses contados a partir de la contratación del consultor. Se estima una dedicación de 40 días-persona, distribuidos de la siguiente forma: (i) una visita inicial 3 semanas (15 días-persona) para recolectar la información requerida y evaluar la situación existente; (ii) trabajo en la sede del consultor (20 días persona) para preparar el borrador de los documentos técnicos (iii) una visita final de una semana (5 días consultor) para discutir y preparar la versión final de los documentos.</w:t>
      </w:r>
    </w:p>
    <w:p w:rsidR="003A5DA1" w:rsidRPr="00E64D1D" w:rsidRDefault="003A5DA1" w:rsidP="003A5DA1">
      <w:pPr>
        <w:jc w:val="both"/>
        <w:rPr>
          <w:rFonts w:ascii="Arial" w:hAnsi="Arial" w:cs="Arial"/>
          <w:b/>
          <w:sz w:val="22"/>
          <w:szCs w:val="22"/>
          <w:lang w:val="es-MX"/>
        </w:rPr>
      </w:pPr>
    </w:p>
    <w:p w:rsidR="003A5DA1" w:rsidRPr="00E64D1D" w:rsidRDefault="003A5DA1" w:rsidP="003A5DA1">
      <w:pPr>
        <w:ind w:left="360"/>
        <w:jc w:val="both"/>
        <w:rPr>
          <w:rFonts w:ascii="Arial" w:hAnsi="Arial" w:cs="Arial"/>
          <w:b/>
          <w:sz w:val="22"/>
          <w:szCs w:val="22"/>
          <w:lang w:val="es-MX"/>
        </w:rPr>
      </w:pPr>
    </w:p>
    <w:p w:rsidR="003A5DA1" w:rsidRPr="00E64D1D" w:rsidRDefault="00E64D1D" w:rsidP="00E64D1D">
      <w:pPr>
        <w:pStyle w:val="Prrafodelista"/>
        <w:numPr>
          <w:ilvl w:val="0"/>
          <w:numId w:val="25"/>
        </w:numPr>
        <w:jc w:val="both"/>
        <w:rPr>
          <w:rFonts w:ascii="Arial" w:hAnsi="Arial" w:cs="Arial"/>
          <w:b/>
          <w:bCs/>
          <w:sz w:val="22"/>
          <w:szCs w:val="22"/>
          <w:lang w:val="es-ES"/>
        </w:rPr>
      </w:pPr>
      <w:r>
        <w:rPr>
          <w:rFonts w:ascii="Arial" w:hAnsi="Arial" w:cs="Arial"/>
          <w:b/>
          <w:sz w:val="22"/>
          <w:szCs w:val="22"/>
          <w:lang w:val="es-HN"/>
        </w:rPr>
        <w:t xml:space="preserve">LISTA DE </w:t>
      </w:r>
      <w:r w:rsidR="003A5DA1" w:rsidRPr="00E64D1D">
        <w:rPr>
          <w:rFonts w:ascii="Arial" w:hAnsi="Arial" w:cs="Arial"/>
          <w:b/>
          <w:sz w:val="22"/>
          <w:szCs w:val="22"/>
          <w:lang w:val="es-HN"/>
        </w:rPr>
        <w:t>INFORMES</w:t>
      </w:r>
      <w:r w:rsidR="003A5DA1" w:rsidRPr="00E64D1D">
        <w:rPr>
          <w:rFonts w:ascii="Arial" w:hAnsi="Arial" w:cs="Arial"/>
          <w:b/>
          <w:bCs/>
          <w:sz w:val="22"/>
          <w:szCs w:val="22"/>
          <w:lang w:val="es-ES"/>
        </w:rPr>
        <w:t xml:space="preserve"> Y </w:t>
      </w:r>
      <w:r>
        <w:rPr>
          <w:rFonts w:ascii="Arial" w:hAnsi="Arial" w:cs="Arial"/>
          <w:b/>
          <w:bCs/>
          <w:sz w:val="22"/>
          <w:szCs w:val="22"/>
          <w:lang w:val="es-ES"/>
        </w:rPr>
        <w:t>CRONOGRAMA DE ENTREGA</w:t>
      </w:r>
    </w:p>
    <w:p w:rsidR="00E64D1D" w:rsidRPr="00E64D1D" w:rsidRDefault="00E64D1D" w:rsidP="00E64D1D">
      <w:pPr>
        <w:pStyle w:val="Prrafodelista"/>
        <w:ind w:left="720"/>
        <w:jc w:val="both"/>
        <w:rPr>
          <w:rFonts w:ascii="Arial" w:hAnsi="Arial" w:cs="Arial"/>
          <w:b/>
          <w:bCs/>
          <w:sz w:val="22"/>
          <w:szCs w:val="22"/>
          <w:lang w:val="es-ES"/>
        </w:rPr>
      </w:pPr>
    </w:p>
    <w:p w:rsidR="003A5DA1" w:rsidRDefault="003A5DA1" w:rsidP="003A5DA1">
      <w:pPr>
        <w:autoSpaceDE w:val="0"/>
        <w:autoSpaceDN w:val="0"/>
        <w:adjustRightInd w:val="0"/>
        <w:ind w:left="360" w:firstLine="11"/>
        <w:rPr>
          <w:rFonts w:ascii="Arial" w:hAnsi="Arial" w:cs="Arial"/>
          <w:sz w:val="22"/>
          <w:szCs w:val="22"/>
          <w:lang w:val="es-ES"/>
        </w:rPr>
      </w:pPr>
      <w:r w:rsidRPr="00E64D1D">
        <w:rPr>
          <w:rFonts w:ascii="Arial" w:hAnsi="Arial" w:cs="Arial"/>
          <w:sz w:val="22"/>
          <w:szCs w:val="22"/>
          <w:lang w:val="es-ES"/>
        </w:rPr>
        <w:t>El consultor presentar</w:t>
      </w:r>
      <w:r w:rsidR="008031CA" w:rsidRPr="00E64D1D">
        <w:rPr>
          <w:rFonts w:ascii="Arial" w:hAnsi="Arial" w:cs="Arial"/>
          <w:sz w:val="22"/>
          <w:szCs w:val="22"/>
          <w:lang w:val="es-ES"/>
        </w:rPr>
        <w:t>á</w:t>
      </w:r>
      <w:r w:rsidRPr="00E64D1D">
        <w:rPr>
          <w:rFonts w:ascii="Arial" w:hAnsi="Arial" w:cs="Arial"/>
          <w:sz w:val="22"/>
          <w:szCs w:val="22"/>
          <w:lang w:val="es-ES"/>
        </w:rPr>
        <w:t xml:space="preserve"> los siguientes productos e informes:</w:t>
      </w:r>
    </w:p>
    <w:p w:rsidR="00E64D1D" w:rsidRPr="00E64D1D" w:rsidRDefault="00E64D1D" w:rsidP="00E64830">
      <w:pPr>
        <w:autoSpaceDE w:val="0"/>
        <w:autoSpaceDN w:val="0"/>
        <w:adjustRightInd w:val="0"/>
        <w:ind w:left="708" w:firstLine="11"/>
        <w:jc w:val="both"/>
        <w:rPr>
          <w:rFonts w:ascii="Arial" w:hAnsi="Arial" w:cs="Arial"/>
          <w:sz w:val="22"/>
          <w:szCs w:val="22"/>
          <w:lang w:val="es-ES"/>
        </w:rPr>
      </w:pPr>
    </w:p>
    <w:p w:rsidR="00CB28B4" w:rsidRPr="00E64D1D" w:rsidRDefault="008A65A6" w:rsidP="00E64830">
      <w:pPr>
        <w:pStyle w:val="Prrafodelista"/>
        <w:numPr>
          <w:ilvl w:val="0"/>
          <w:numId w:val="28"/>
        </w:numPr>
        <w:autoSpaceDE w:val="0"/>
        <w:autoSpaceDN w:val="0"/>
        <w:adjustRightInd w:val="0"/>
        <w:ind w:left="1416"/>
        <w:jc w:val="both"/>
        <w:rPr>
          <w:rFonts w:ascii="Arial" w:hAnsi="Arial" w:cs="Arial"/>
          <w:sz w:val="22"/>
          <w:szCs w:val="22"/>
          <w:lang w:val="es-ES"/>
        </w:rPr>
      </w:pPr>
      <w:r w:rsidRPr="008A65A6">
        <w:rPr>
          <w:rFonts w:ascii="Arial" w:hAnsi="Arial" w:cs="Arial"/>
          <w:b/>
          <w:sz w:val="22"/>
          <w:szCs w:val="22"/>
          <w:lang w:val="es-HN"/>
        </w:rPr>
        <w:t>Producto 1.</w:t>
      </w:r>
      <w:r w:rsidR="00E64830">
        <w:rPr>
          <w:rFonts w:ascii="Arial" w:hAnsi="Arial" w:cs="Arial"/>
          <w:b/>
          <w:sz w:val="22"/>
          <w:szCs w:val="22"/>
          <w:lang w:val="es-HN"/>
        </w:rPr>
        <w:t xml:space="preserve"> </w:t>
      </w:r>
      <w:r w:rsidR="00E64D1D" w:rsidRPr="00E64D1D">
        <w:rPr>
          <w:rFonts w:ascii="Arial" w:hAnsi="Arial" w:cs="Arial"/>
          <w:sz w:val="22"/>
          <w:szCs w:val="22"/>
          <w:lang w:val="es-HN"/>
        </w:rPr>
        <w:t>Análisis</w:t>
      </w:r>
      <w:r w:rsidR="00CB28B4" w:rsidRPr="00E64D1D">
        <w:rPr>
          <w:rFonts w:ascii="Arial" w:hAnsi="Arial" w:cs="Arial"/>
          <w:sz w:val="22"/>
          <w:szCs w:val="22"/>
          <w:lang w:val="es-HN"/>
        </w:rPr>
        <w:t xml:space="preserve"> del marco legal</w:t>
      </w:r>
      <w:r w:rsidR="00121CA5">
        <w:rPr>
          <w:rFonts w:ascii="Arial" w:hAnsi="Arial" w:cs="Arial"/>
          <w:sz w:val="22"/>
          <w:szCs w:val="22"/>
          <w:lang w:val="es-HN"/>
        </w:rPr>
        <w:t xml:space="preserve"> y reglamentario</w:t>
      </w:r>
      <w:r w:rsidR="00CB28B4" w:rsidRPr="00E64D1D">
        <w:rPr>
          <w:rFonts w:ascii="Arial" w:hAnsi="Arial" w:cs="Arial"/>
          <w:sz w:val="22"/>
          <w:szCs w:val="22"/>
          <w:lang w:val="es-HN"/>
        </w:rPr>
        <w:t>, incluyendo lo descrito en la actividad 1 de la secció</w:t>
      </w:r>
      <w:r w:rsidR="00E64D1D">
        <w:rPr>
          <w:rFonts w:ascii="Arial" w:hAnsi="Arial" w:cs="Arial"/>
          <w:sz w:val="22"/>
          <w:szCs w:val="22"/>
          <w:lang w:val="es-HN"/>
        </w:rPr>
        <w:t>n</w:t>
      </w:r>
      <w:r w:rsidR="00CB28B4" w:rsidRPr="00E64D1D">
        <w:rPr>
          <w:rFonts w:ascii="Arial" w:hAnsi="Arial" w:cs="Arial"/>
          <w:sz w:val="22"/>
          <w:szCs w:val="22"/>
          <w:lang w:val="es-HN"/>
        </w:rPr>
        <w:t xml:space="preserve"> 3</w:t>
      </w:r>
      <w:r w:rsidR="00E64D1D">
        <w:rPr>
          <w:rFonts w:ascii="Arial" w:hAnsi="Arial" w:cs="Arial"/>
          <w:sz w:val="22"/>
          <w:szCs w:val="22"/>
          <w:lang w:val="es-HN"/>
        </w:rPr>
        <w:t>.</w:t>
      </w:r>
    </w:p>
    <w:p w:rsidR="00E64D1D" w:rsidRPr="00E64D1D" w:rsidRDefault="00E64D1D" w:rsidP="00E64830">
      <w:pPr>
        <w:pStyle w:val="Prrafodelista"/>
        <w:jc w:val="both"/>
        <w:rPr>
          <w:rFonts w:ascii="Arial" w:hAnsi="Arial" w:cs="Arial"/>
          <w:sz w:val="22"/>
          <w:szCs w:val="22"/>
          <w:lang w:val="es-ES"/>
        </w:rPr>
      </w:pPr>
    </w:p>
    <w:p w:rsidR="00CB28B4" w:rsidRDefault="008A65A6" w:rsidP="00E64830">
      <w:pPr>
        <w:pStyle w:val="Prrafodelista"/>
        <w:numPr>
          <w:ilvl w:val="0"/>
          <w:numId w:val="28"/>
        </w:numPr>
        <w:autoSpaceDE w:val="0"/>
        <w:autoSpaceDN w:val="0"/>
        <w:adjustRightInd w:val="0"/>
        <w:ind w:left="1416"/>
        <w:jc w:val="both"/>
        <w:rPr>
          <w:rFonts w:ascii="Arial" w:hAnsi="Arial" w:cs="Arial"/>
          <w:sz w:val="22"/>
          <w:szCs w:val="22"/>
          <w:lang w:val="es-ES"/>
        </w:rPr>
      </w:pPr>
      <w:r w:rsidRPr="008A65A6">
        <w:rPr>
          <w:rFonts w:ascii="Arial" w:hAnsi="Arial" w:cs="Arial"/>
          <w:b/>
          <w:sz w:val="22"/>
          <w:szCs w:val="22"/>
          <w:lang w:val="es-ES"/>
        </w:rPr>
        <w:t>Producto 2.</w:t>
      </w:r>
      <w:r w:rsidR="00E64830">
        <w:rPr>
          <w:rFonts w:ascii="Arial" w:hAnsi="Arial" w:cs="Arial"/>
          <w:b/>
          <w:sz w:val="22"/>
          <w:szCs w:val="22"/>
          <w:lang w:val="es-ES"/>
        </w:rPr>
        <w:t xml:space="preserve"> </w:t>
      </w:r>
      <w:r w:rsidR="00E64830" w:rsidRPr="00E64830">
        <w:rPr>
          <w:rFonts w:ascii="Arial" w:hAnsi="Arial" w:cs="Arial"/>
          <w:sz w:val="22"/>
          <w:szCs w:val="22"/>
          <w:lang w:val="es-ES"/>
        </w:rPr>
        <w:t>P</w:t>
      </w:r>
      <w:r w:rsidR="00121CA5">
        <w:rPr>
          <w:rFonts w:ascii="Arial" w:hAnsi="Arial" w:cs="Arial"/>
          <w:sz w:val="22"/>
          <w:szCs w:val="22"/>
          <w:lang w:val="es-ES"/>
        </w:rPr>
        <w:t>ropuestas de contratos de compra de energía estándar, conforme</w:t>
      </w:r>
      <w:r w:rsidR="00CB28B4" w:rsidRPr="00E64D1D">
        <w:rPr>
          <w:rFonts w:ascii="Arial" w:hAnsi="Arial" w:cs="Arial"/>
          <w:sz w:val="22"/>
          <w:szCs w:val="22"/>
          <w:lang w:val="es-ES"/>
        </w:rPr>
        <w:t xml:space="preserve"> lo descrito en la actividad </w:t>
      </w:r>
      <w:r w:rsidR="00B30DD3">
        <w:rPr>
          <w:rFonts w:ascii="Arial" w:hAnsi="Arial" w:cs="Arial"/>
          <w:sz w:val="22"/>
          <w:szCs w:val="22"/>
          <w:lang w:val="es-ES"/>
        </w:rPr>
        <w:t>2</w:t>
      </w:r>
      <w:r w:rsidR="00CB28B4" w:rsidRPr="00E64D1D">
        <w:rPr>
          <w:rFonts w:ascii="Arial" w:hAnsi="Arial" w:cs="Arial"/>
          <w:sz w:val="22"/>
          <w:szCs w:val="22"/>
          <w:lang w:val="es-ES"/>
        </w:rPr>
        <w:t xml:space="preserve"> de la sección 3</w:t>
      </w:r>
      <w:r w:rsidR="00E64D1D">
        <w:rPr>
          <w:rFonts w:ascii="Arial" w:hAnsi="Arial" w:cs="Arial"/>
          <w:sz w:val="22"/>
          <w:szCs w:val="22"/>
          <w:lang w:val="es-ES"/>
        </w:rPr>
        <w:t>.</w:t>
      </w:r>
    </w:p>
    <w:p w:rsidR="00E64D1D" w:rsidRPr="00E64D1D" w:rsidRDefault="00E64D1D" w:rsidP="00E64D1D">
      <w:pPr>
        <w:autoSpaceDE w:val="0"/>
        <w:autoSpaceDN w:val="0"/>
        <w:adjustRightInd w:val="0"/>
        <w:ind w:left="348"/>
        <w:rPr>
          <w:rFonts w:ascii="Arial" w:hAnsi="Arial" w:cs="Arial"/>
          <w:sz w:val="22"/>
          <w:szCs w:val="22"/>
          <w:lang w:val="es-ES"/>
        </w:rPr>
      </w:pPr>
    </w:p>
    <w:p w:rsidR="009519C7" w:rsidRPr="00E64D1D" w:rsidRDefault="009519C7" w:rsidP="00E64D1D">
      <w:pPr>
        <w:pStyle w:val="Prrafodelista"/>
        <w:numPr>
          <w:ilvl w:val="0"/>
          <w:numId w:val="28"/>
        </w:numPr>
        <w:autoSpaceDE w:val="0"/>
        <w:autoSpaceDN w:val="0"/>
        <w:adjustRightInd w:val="0"/>
        <w:ind w:left="1416"/>
        <w:jc w:val="both"/>
        <w:rPr>
          <w:rFonts w:ascii="Arial" w:hAnsi="Arial" w:cs="Arial"/>
          <w:sz w:val="22"/>
          <w:szCs w:val="22"/>
          <w:lang w:val="es-ES"/>
        </w:rPr>
      </w:pPr>
      <w:r w:rsidRPr="00E64D1D">
        <w:rPr>
          <w:rFonts w:ascii="Arial" w:hAnsi="Arial" w:cs="Arial"/>
          <w:sz w:val="22"/>
          <w:szCs w:val="22"/>
          <w:lang w:val="es-ES"/>
        </w:rPr>
        <w:t>Informe final (síntesis de Actividades 1 y 2),  será discutido en borrador con la entidad ejecutora antes de ser considerado final</w:t>
      </w:r>
      <w:r w:rsidR="00700A16" w:rsidRPr="00E64D1D">
        <w:rPr>
          <w:rFonts w:ascii="Arial" w:hAnsi="Arial" w:cs="Arial"/>
          <w:sz w:val="22"/>
          <w:szCs w:val="22"/>
          <w:lang w:val="es-ES"/>
        </w:rPr>
        <w:t xml:space="preserve"> incluyendo los productos de las actividades 1 y 2</w:t>
      </w:r>
      <w:r w:rsidR="00E64D1D">
        <w:rPr>
          <w:rFonts w:ascii="Arial" w:hAnsi="Arial" w:cs="Arial"/>
          <w:sz w:val="22"/>
          <w:szCs w:val="22"/>
          <w:lang w:val="es-ES"/>
        </w:rPr>
        <w:t xml:space="preserve">, </w:t>
      </w:r>
      <w:r w:rsidR="00E64D1D" w:rsidRPr="00E67051">
        <w:rPr>
          <w:rFonts w:ascii="Arial" w:hAnsi="Arial" w:cs="Arial"/>
          <w:sz w:val="22"/>
          <w:szCs w:val="22"/>
          <w:lang w:val="es-HN"/>
        </w:rPr>
        <w:t>así como resumen de la consultoría, con sus conclusiones y recomendaciones.</w:t>
      </w:r>
    </w:p>
    <w:p w:rsidR="00E64D1D" w:rsidRPr="00E64D1D" w:rsidRDefault="00E64D1D" w:rsidP="00E64D1D">
      <w:pPr>
        <w:pStyle w:val="Prrafodelista"/>
        <w:rPr>
          <w:rFonts w:ascii="Arial" w:hAnsi="Arial" w:cs="Arial"/>
          <w:sz w:val="22"/>
          <w:szCs w:val="22"/>
          <w:lang w:val="es-ES"/>
        </w:rPr>
      </w:pPr>
    </w:p>
    <w:p w:rsidR="003A5DA1" w:rsidRDefault="00E64D1D" w:rsidP="00E64D1D">
      <w:pPr>
        <w:pStyle w:val="Prrafodelista"/>
        <w:autoSpaceDE w:val="0"/>
        <w:autoSpaceDN w:val="0"/>
        <w:adjustRightInd w:val="0"/>
        <w:ind w:left="426"/>
        <w:jc w:val="both"/>
        <w:rPr>
          <w:rFonts w:ascii="Arial" w:hAnsi="Arial" w:cs="Arial"/>
          <w:sz w:val="22"/>
          <w:szCs w:val="22"/>
          <w:lang w:val="es-ES"/>
        </w:rPr>
      </w:pPr>
      <w:r>
        <w:rPr>
          <w:rFonts w:ascii="Arial" w:hAnsi="Arial" w:cs="Arial"/>
          <w:sz w:val="22"/>
          <w:szCs w:val="22"/>
          <w:lang w:val="es-ES"/>
        </w:rPr>
        <w:t>CRONOGRAMA DE ENTREGA</w:t>
      </w:r>
    </w:p>
    <w:p w:rsidR="00E64D1D" w:rsidRDefault="00E64D1D" w:rsidP="00FA75F4">
      <w:pPr>
        <w:pStyle w:val="Prrafodelista"/>
        <w:autoSpaceDE w:val="0"/>
        <w:autoSpaceDN w:val="0"/>
        <w:adjustRightInd w:val="0"/>
        <w:ind w:left="1091"/>
        <w:rPr>
          <w:rFonts w:ascii="Arial" w:hAnsi="Arial" w:cs="Arial"/>
          <w:sz w:val="22"/>
          <w:szCs w:val="22"/>
          <w:lang w:val="es-ES"/>
        </w:rPr>
      </w:pPr>
    </w:p>
    <w:tbl>
      <w:tblPr>
        <w:tblStyle w:val="Tablaconcuadrcula"/>
        <w:tblW w:w="0" w:type="auto"/>
        <w:tblLook w:val="04A0"/>
      </w:tblPr>
      <w:tblGrid>
        <w:gridCol w:w="2147"/>
        <w:gridCol w:w="339"/>
        <w:gridCol w:w="339"/>
        <w:gridCol w:w="339"/>
        <w:gridCol w:w="339"/>
        <w:gridCol w:w="339"/>
        <w:gridCol w:w="339"/>
        <w:gridCol w:w="339"/>
        <w:gridCol w:w="339"/>
        <w:gridCol w:w="339"/>
        <w:gridCol w:w="339"/>
        <w:gridCol w:w="339"/>
        <w:gridCol w:w="339"/>
        <w:gridCol w:w="1435"/>
      </w:tblGrid>
      <w:tr w:rsidR="00E64D1D" w:rsidRPr="00E64D1D" w:rsidTr="004E0253">
        <w:tc>
          <w:tcPr>
            <w:tcW w:w="2147" w:type="dxa"/>
            <w:tcBorders>
              <w:top w:val="nil"/>
              <w:left w:val="nil"/>
              <w:bottom w:val="nil"/>
              <w:right w:val="single" w:sz="4" w:space="0" w:color="auto"/>
            </w:tcBorders>
          </w:tcPr>
          <w:p w:rsidR="00E64D1D" w:rsidRPr="00E64D1D" w:rsidRDefault="00E64D1D" w:rsidP="005260DF">
            <w:pPr>
              <w:rPr>
                <w:rFonts w:ascii="Arial" w:hAnsi="Arial" w:cs="Arial"/>
                <w:lang w:val="es-MX"/>
              </w:rPr>
            </w:pPr>
          </w:p>
        </w:tc>
        <w:tc>
          <w:tcPr>
            <w:tcW w:w="1356" w:type="dxa"/>
            <w:gridSpan w:val="4"/>
            <w:tcBorders>
              <w:left w:val="single" w:sz="4" w:space="0" w:color="auto"/>
            </w:tcBorders>
            <w:shd w:val="clear" w:color="auto" w:fill="808080" w:themeFill="background1" w:themeFillShade="80"/>
          </w:tcPr>
          <w:p w:rsidR="00E64D1D" w:rsidRPr="00E64D1D" w:rsidRDefault="00E64D1D" w:rsidP="005260DF">
            <w:pPr>
              <w:jc w:val="center"/>
              <w:rPr>
                <w:rFonts w:ascii="Arial" w:hAnsi="Arial" w:cs="Arial"/>
                <w:b/>
                <w:lang w:val="es-MX"/>
              </w:rPr>
            </w:pPr>
            <w:r w:rsidRPr="00E64D1D">
              <w:rPr>
                <w:rFonts w:ascii="Arial" w:hAnsi="Arial" w:cs="Arial"/>
                <w:b/>
                <w:lang w:val="es-MX"/>
              </w:rPr>
              <w:t>MES 1</w:t>
            </w:r>
          </w:p>
        </w:tc>
        <w:tc>
          <w:tcPr>
            <w:tcW w:w="1356" w:type="dxa"/>
            <w:gridSpan w:val="4"/>
            <w:shd w:val="clear" w:color="auto" w:fill="808080" w:themeFill="background1" w:themeFillShade="80"/>
          </w:tcPr>
          <w:p w:rsidR="00E64D1D" w:rsidRPr="00E64D1D" w:rsidRDefault="00E64D1D" w:rsidP="005260DF">
            <w:pPr>
              <w:jc w:val="center"/>
              <w:rPr>
                <w:rFonts w:ascii="Arial" w:hAnsi="Arial" w:cs="Arial"/>
                <w:b/>
                <w:lang w:val="es-MX"/>
              </w:rPr>
            </w:pPr>
            <w:r w:rsidRPr="00E64D1D">
              <w:rPr>
                <w:rFonts w:ascii="Arial" w:hAnsi="Arial" w:cs="Arial"/>
                <w:b/>
                <w:lang w:val="es-MX"/>
              </w:rPr>
              <w:t>MES 2</w:t>
            </w:r>
          </w:p>
        </w:tc>
        <w:tc>
          <w:tcPr>
            <w:tcW w:w="1356" w:type="dxa"/>
            <w:gridSpan w:val="4"/>
            <w:shd w:val="clear" w:color="auto" w:fill="808080" w:themeFill="background1" w:themeFillShade="80"/>
          </w:tcPr>
          <w:p w:rsidR="00E64D1D" w:rsidRPr="00E64D1D" w:rsidRDefault="00E64D1D" w:rsidP="005260DF">
            <w:pPr>
              <w:jc w:val="center"/>
              <w:rPr>
                <w:rFonts w:ascii="Arial" w:hAnsi="Arial" w:cs="Arial"/>
                <w:b/>
                <w:lang w:val="es-MX"/>
              </w:rPr>
            </w:pPr>
            <w:r w:rsidRPr="00E64D1D">
              <w:rPr>
                <w:rFonts w:ascii="Arial" w:hAnsi="Arial" w:cs="Arial"/>
                <w:b/>
                <w:lang w:val="es-MX"/>
              </w:rPr>
              <w:t>MES 3</w:t>
            </w:r>
          </w:p>
        </w:tc>
        <w:tc>
          <w:tcPr>
            <w:tcW w:w="1435" w:type="dxa"/>
            <w:vMerge w:val="restart"/>
          </w:tcPr>
          <w:p w:rsidR="00E64D1D" w:rsidRPr="00E64D1D" w:rsidRDefault="00E64D1D" w:rsidP="005260DF">
            <w:pPr>
              <w:jc w:val="center"/>
              <w:rPr>
                <w:rFonts w:ascii="Arial" w:hAnsi="Arial" w:cs="Arial"/>
                <w:b/>
                <w:lang w:val="es-MX"/>
              </w:rPr>
            </w:pPr>
            <w:r w:rsidRPr="00E64D1D">
              <w:rPr>
                <w:rFonts w:ascii="Arial" w:hAnsi="Arial" w:cs="Arial"/>
                <w:b/>
                <w:lang w:val="es-MX"/>
              </w:rPr>
              <w:t>FORMA DE PAGO</w:t>
            </w:r>
          </w:p>
        </w:tc>
      </w:tr>
      <w:tr w:rsidR="00E64D1D" w:rsidRPr="00E64D1D" w:rsidTr="004E0253">
        <w:tc>
          <w:tcPr>
            <w:tcW w:w="2147" w:type="dxa"/>
            <w:tcBorders>
              <w:top w:val="nil"/>
              <w:left w:val="nil"/>
              <w:bottom w:val="single" w:sz="4" w:space="0" w:color="auto"/>
              <w:right w:val="single" w:sz="4" w:space="0" w:color="auto"/>
            </w:tcBorders>
          </w:tcPr>
          <w:p w:rsidR="00E64D1D" w:rsidRPr="00E64D1D" w:rsidRDefault="00E64D1D" w:rsidP="005260DF">
            <w:pPr>
              <w:rPr>
                <w:rFonts w:ascii="Arial" w:hAnsi="Arial" w:cs="Arial"/>
                <w:lang w:val="es-MX"/>
              </w:rPr>
            </w:pPr>
          </w:p>
        </w:tc>
        <w:tc>
          <w:tcPr>
            <w:tcW w:w="339" w:type="dxa"/>
            <w:tcBorders>
              <w:left w:val="single" w:sz="4" w:space="0" w:color="auto"/>
            </w:tcBorders>
          </w:tcPr>
          <w:p w:rsidR="00E64D1D" w:rsidRPr="00E64D1D" w:rsidRDefault="00E64D1D" w:rsidP="005260DF">
            <w:pPr>
              <w:jc w:val="center"/>
              <w:rPr>
                <w:rFonts w:ascii="Arial" w:hAnsi="Arial" w:cs="Arial"/>
                <w:b/>
                <w:lang w:val="es-MX"/>
              </w:rPr>
            </w:pPr>
            <w:r w:rsidRPr="00E64D1D">
              <w:rPr>
                <w:rFonts w:ascii="Arial" w:hAnsi="Arial" w:cs="Arial"/>
                <w:b/>
                <w:lang w:val="es-MX"/>
              </w:rPr>
              <w:t>1</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2</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3</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4</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1</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2</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3</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4</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1</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2</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3</w:t>
            </w:r>
          </w:p>
        </w:tc>
        <w:tc>
          <w:tcPr>
            <w:tcW w:w="339" w:type="dxa"/>
          </w:tcPr>
          <w:p w:rsidR="00E64D1D" w:rsidRPr="00E64D1D" w:rsidRDefault="00E64D1D" w:rsidP="005260DF">
            <w:pPr>
              <w:jc w:val="center"/>
              <w:rPr>
                <w:rFonts w:ascii="Arial" w:hAnsi="Arial" w:cs="Arial"/>
                <w:b/>
                <w:lang w:val="es-MX"/>
              </w:rPr>
            </w:pPr>
            <w:r w:rsidRPr="00E64D1D">
              <w:rPr>
                <w:rFonts w:ascii="Arial" w:hAnsi="Arial" w:cs="Arial"/>
                <w:b/>
                <w:lang w:val="es-MX"/>
              </w:rPr>
              <w:t>4</w:t>
            </w:r>
          </w:p>
        </w:tc>
        <w:tc>
          <w:tcPr>
            <w:tcW w:w="1435" w:type="dxa"/>
            <w:vMerge/>
          </w:tcPr>
          <w:p w:rsidR="00E64D1D" w:rsidRPr="00E64D1D" w:rsidRDefault="00E64D1D" w:rsidP="005260DF">
            <w:pPr>
              <w:jc w:val="center"/>
              <w:rPr>
                <w:rFonts w:ascii="Arial" w:hAnsi="Arial" w:cs="Arial"/>
                <w:b/>
                <w:lang w:val="es-MX"/>
              </w:rPr>
            </w:pPr>
          </w:p>
        </w:tc>
      </w:tr>
      <w:tr w:rsidR="00E64D1D" w:rsidRPr="00E64D1D" w:rsidTr="004E0253">
        <w:tc>
          <w:tcPr>
            <w:tcW w:w="2147" w:type="dxa"/>
          </w:tcPr>
          <w:p w:rsidR="00E64D1D" w:rsidRPr="00E64D1D" w:rsidRDefault="00E64D1D" w:rsidP="005260DF">
            <w:pPr>
              <w:rPr>
                <w:rFonts w:ascii="Arial" w:hAnsi="Arial" w:cs="Arial"/>
                <w:lang w:val="es-MX"/>
              </w:rPr>
            </w:pPr>
            <w:r w:rsidRPr="00E64D1D">
              <w:rPr>
                <w:rFonts w:ascii="Arial" w:hAnsi="Arial" w:cs="Arial"/>
                <w:lang w:val="es-HN"/>
              </w:rPr>
              <w:t>Producto 1</w:t>
            </w: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shd w:val="clear" w:color="auto" w:fill="000000" w:themeFill="text1"/>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1435" w:type="dxa"/>
          </w:tcPr>
          <w:p w:rsidR="00E64D1D" w:rsidRPr="00E64D1D" w:rsidRDefault="004E0253" w:rsidP="004E0253">
            <w:pPr>
              <w:jc w:val="center"/>
              <w:rPr>
                <w:rFonts w:ascii="Arial" w:hAnsi="Arial" w:cs="Arial"/>
                <w:lang w:val="es-MX"/>
              </w:rPr>
            </w:pPr>
            <w:r>
              <w:rPr>
                <w:rFonts w:ascii="Arial" w:hAnsi="Arial" w:cs="Arial"/>
                <w:lang w:val="es-MX"/>
              </w:rPr>
              <w:t>40</w:t>
            </w:r>
            <w:r w:rsidR="00E64D1D" w:rsidRPr="00E64D1D">
              <w:rPr>
                <w:rFonts w:ascii="Arial" w:hAnsi="Arial" w:cs="Arial"/>
                <w:lang w:val="es-MX"/>
              </w:rPr>
              <w:t>%</w:t>
            </w:r>
          </w:p>
        </w:tc>
      </w:tr>
      <w:tr w:rsidR="00E64D1D" w:rsidRPr="00E64D1D" w:rsidTr="004E0253">
        <w:trPr>
          <w:trHeight w:val="350"/>
        </w:trPr>
        <w:tc>
          <w:tcPr>
            <w:tcW w:w="2147" w:type="dxa"/>
          </w:tcPr>
          <w:p w:rsidR="00E64D1D" w:rsidRPr="00E64D1D" w:rsidRDefault="00E64D1D" w:rsidP="005260DF">
            <w:pPr>
              <w:rPr>
                <w:rFonts w:ascii="Arial" w:hAnsi="Arial" w:cs="Arial"/>
                <w:lang w:val="es-MX"/>
              </w:rPr>
            </w:pPr>
            <w:r w:rsidRPr="00E64D1D">
              <w:rPr>
                <w:rFonts w:ascii="Arial" w:hAnsi="Arial" w:cs="Arial"/>
                <w:lang w:val="es-ES"/>
              </w:rPr>
              <w:t>Producto 2</w:t>
            </w: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shd w:val="clear" w:color="auto" w:fill="000000" w:themeFill="text1"/>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339" w:type="dxa"/>
          </w:tcPr>
          <w:p w:rsidR="00E64D1D" w:rsidRPr="00E64D1D" w:rsidRDefault="00E64D1D" w:rsidP="005260DF">
            <w:pPr>
              <w:rPr>
                <w:rFonts w:ascii="Arial" w:hAnsi="Arial" w:cs="Arial"/>
                <w:lang w:val="es-MX"/>
              </w:rPr>
            </w:pPr>
          </w:p>
        </w:tc>
        <w:tc>
          <w:tcPr>
            <w:tcW w:w="1435" w:type="dxa"/>
          </w:tcPr>
          <w:p w:rsidR="00E64D1D" w:rsidRPr="00E64D1D" w:rsidRDefault="004E0253" w:rsidP="005260DF">
            <w:pPr>
              <w:jc w:val="center"/>
              <w:rPr>
                <w:rFonts w:ascii="Arial" w:hAnsi="Arial" w:cs="Arial"/>
                <w:lang w:val="es-MX"/>
              </w:rPr>
            </w:pPr>
            <w:r>
              <w:rPr>
                <w:rFonts w:ascii="Arial" w:hAnsi="Arial" w:cs="Arial"/>
                <w:lang w:val="es-MX"/>
              </w:rPr>
              <w:t>40</w:t>
            </w:r>
            <w:r w:rsidR="00E64D1D" w:rsidRPr="00E64D1D">
              <w:rPr>
                <w:rFonts w:ascii="Arial" w:hAnsi="Arial" w:cs="Arial"/>
                <w:lang w:val="es-MX"/>
              </w:rPr>
              <w:t>%</w:t>
            </w:r>
          </w:p>
        </w:tc>
      </w:tr>
      <w:tr w:rsidR="00E64D1D" w:rsidRPr="00E64D1D" w:rsidTr="004E0253">
        <w:tc>
          <w:tcPr>
            <w:tcW w:w="2147" w:type="dxa"/>
          </w:tcPr>
          <w:p w:rsidR="00E64D1D" w:rsidRPr="00E64830" w:rsidRDefault="008A65A6" w:rsidP="005260DF">
            <w:pPr>
              <w:rPr>
                <w:rFonts w:ascii="Arial" w:hAnsi="Arial" w:cs="Arial"/>
                <w:lang w:val="es-MX"/>
              </w:rPr>
            </w:pPr>
            <w:r w:rsidRPr="00E64830">
              <w:rPr>
                <w:rFonts w:ascii="Arial" w:hAnsi="Arial" w:cs="Arial"/>
                <w:lang w:val="es-ES"/>
              </w:rPr>
              <w:t>Informe final</w:t>
            </w: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tcPr>
          <w:p w:rsidR="00E64D1D" w:rsidRPr="00E64830" w:rsidRDefault="00E64D1D" w:rsidP="005260DF">
            <w:pPr>
              <w:rPr>
                <w:rFonts w:ascii="Arial" w:hAnsi="Arial" w:cs="Arial"/>
                <w:lang w:val="es-MX"/>
              </w:rPr>
            </w:pPr>
          </w:p>
        </w:tc>
        <w:tc>
          <w:tcPr>
            <w:tcW w:w="339" w:type="dxa"/>
            <w:shd w:val="clear" w:color="auto" w:fill="000000" w:themeFill="text1"/>
          </w:tcPr>
          <w:p w:rsidR="00E64D1D" w:rsidRPr="00E64830" w:rsidRDefault="00E64D1D" w:rsidP="005260DF">
            <w:pPr>
              <w:rPr>
                <w:rFonts w:ascii="Arial" w:hAnsi="Arial" w:cs="Arial"/>
                <w:lang w:val="es-MX"/>
              </w:rPr>
            </w:pPr>
          </w:p>
        </w:tc>
        <w:tc>
          <w:tcPr>
            <w:tcW w:w="1435" w:type="dxa"/>
          </w:tcPr>
          <w:p w:rsidR="00E64D1D" w:rsidRPr="00E64830" w:rsidRDefault="004E0253" w:rsidP="005260DF">
            <w:pPr>
              <w:jc w:val="center"/>
              <w:rPr>
                <w:rFonts w:ascii="Arial" w:hAnsi="Arial" w:cs="Arial"/>
                <w:lang w:val="es-MX"/>
              </w:rPr>
            </w:pPr>
            <w:r>
              <w:rPr>
                <w:rFonts w:ascii="Arial" w:hAnsi="Arial" w:cs="Arial"/>
                <w:lang w:val="es-MX"/>
              </w:rPr>
              <w:t>2</w:t>
            </w:r>
            <w:r w:rsidR="008A65A6" w:rsidRPr="00E64830">
              <w:rPr>
                <w:rFonts w:ascii="Arial" w:hAnsi="Arial" w:cs="Arial"/>
                <w:lang w:val="es-MX"/>
              </w:rPr>
              <w:t>0%</w:t>
            </w:r>
          </w:p>
        </w:tc>
      </w:tr>
    </w:tbl>
    <w:p w:rsidR="00E64D1D" w:rsidRDefault="00E64D1D" w:rsidP="00FA75F4">
      <w:pPr>
        <w:pStyle w:val="Prrafodelista"/>
        <w:autoSpaceDE w:val="0"/>
        <w:autoSpaceDN w:val="0"/>
        <w:adjustRightInd w:val="0"/>
        <w:ind w:left="1091"/>
        <w:rPr>
          <w:rFonts w:ascii="Arial" w:hAnsi="Arial" w:cs="Arial"/>
          <w:sz w:val="22"/>
          <w:szCs w:val="22"/>
          <w:lang w:val="es-ES"/>
        </w:rPr>
      </w:pPr>
    </w:p>
    <w:p w:rsidR="00E64D1D" w:rsidRPr="00E64D1D" w:rsidRDefault="00E64830" w:rsidP="00E64D1D">
      <w:pPr>
        <w:pStyle w:val="Prrafodelista"/>
        <w:numPr>
          <w:ilvl w:val="0"/>
          <w:numId w:val="25"/>
        </w:numPr>
        <w:jc w:val="both"/>
        <w:rPr>
          <w:rFonts w:ascii="Arial" w:hAnsi="Arial" w:cs="Arial"/>
          <w:b/>
          <w:sz w:val="22"/>
          <w:szCs w:val="22"/>
          <w:lang w:val="es-MX"/>
        </w:rPr>
      </w:pPr>
      <w:r>
        <w:rPr>
          <w:rFonts w:ascii="Arial" w:hAnsi="Arial" w:cs="Arial"/>
          <w:b/>
          <w:sz w:val="22"/>
          <w:szCs w:val="22"/>
          <w:lang w:val="es-MX"/>
        </w:rPr>
        <w:t>Coordinación</w:t>
      </w:r>
      <w:r w:rsidR="006A2B7C">
        <w:rPr>
          <w:rFonts w:ascii="Arial" w:hAnsi="Arial" w:cs="Arial"/>
          <w:b/>
          <w:sz w:val="22"/>
          <w:szCs w:val="22"/>
          <w:lang w:val="es-MX"/>
        </w:rPr>
        <w:t xml:space="preserve"> con la ENEE</w:t>
      </w:r>
      <w:r>
        <w:rPr>
          <w:rFonts w:ascii="Arial" w:hAnsi="Arial" w:cs="Arial"/>
          <w:b/>
          <w:sz w:val="22"/>
          <w:szCs w:val="22"/>
          <w:lang w:val="es-MX"/>
        </w:rPr>
        <w:t>:</w:t>
      </w:r>
    </w:p>
    <w:p w:rsidR="00E64D1D" w:rsidRPr="00E64D1D" w:rsidRDefault="00E64D1D" w:rsidP="00E64D1D">
      <w:pPr>
        <w:pStyle w:val="Prrafodelista"/>
        <w:ind w:left="720"/>
        <w:jc w:val="both"/>
        <w:rPr>
          <w:rFonts w:ascii="Arial" w:hAnsi="Arial" w:cs="Arial"/>
          <w:b/>
          <w:sz w:val="22"/>
          <w:szCs w:val="22"/>
          <w:lang w:val="es-MX"/>
        </w:rPr>
      </w:pPr>
    </w:p>
    <w:p w:rsidR="00E64D1D" w:rsidRPr="00E64D1D" w:rsidRDefault="00E64D1D" w:rsidP="00E64D1D">
      <w:pPr>
        <w:ind w:left="360"/>
        <w:jc w:val="both"/>
        <w:rPr>
          <w:rFonts w:ascii="Arial" w:hAnsi="Arial" w:cs="Arial"/>
          <w:sz w:val="22"/>
          <w:szCs w:val="22"/>
          <w:lang w:val="es-MX"/>
        </w:rPr>
      </w:pPr>
      <w:r w:rsidRPr="00E64D1D">
        <w:rPr>
          <w:rFonts w:ascii="Arial" w:hAnsi="Arial" w:cs="Arial"/>
          <w:sz w:val="22"/>
          <w:szCs w:val="22"/>
          <w:lang w:val="es-MX"/>
        </w:rPr>
        <w:t xml:space="preserve">El consultor trabajara en estrecha coordinación con un enlace de la Empresa Nacional de Energía Eléctrica y otro de la Comisión Nacional de Energía, expertos en este tema </w:t>
      </w:r>
      <w:r w:rsidRPr="00E64D1D">
        <w:rPr>
          <w:rFonts w:ascii="Arial" w:hAnsi="Arial" w:cs="Arial"/>
          <w:sz w:val="22"/>
          <w:szCs w:val="22"/>
          <w:lang w:val="es-MX"/>
        </w:rPr>
        <w:lastRenderedPageBreak/>
        <w:t xml:space="preserve">y los que estime convenientes, la sede del trabajo será Tegucigalpa-Honduras, bajo la supervisión de la </w:t>
      </w:r>
      <w:r>
        <w:rPr>
          <w:rFonts w:ascii="Arial" w:hAnsi="Arial" w:cs="Arial"/>
          <w:sz w:val="22"/>
          <w:szCs w:val="22"/>
          <w:lang w:val="es-MX"/>
        </w:rPr>
        <w:t>Coordinación</w:t>
      </w:r>
      <w:r w:rsidRPr="00E64D1D">
        <w:rPr>
          <w:rFonts w:ascii="Arial" w:hAnsi="Arial" w:cs="Arial"/>
          <w:sz w:val="22"/>
          <w:szCs w:val="22"/>
          <w:lang w:val="es-MX"/>
        </w:rPr>
        <w:t xml:space="preserve"> del PROMEF</w:t>
      </w:r>
      <w:r>
        <w:rPr>
          <w:rFonts w:ascii="Arial" w:hAnsi="Arial" w:cs="Arial"/>
          <w:sz w:val="22"/>
          <w:szCs w:val="22"/>
          <w:lang w:val="es-MX"/>
        </w:rPr>
        <w:t>.</w:t>
      </w:r>
    </w:p>
    <w:p w:rsidR="00E64830" w:rsidRPr="00E64830" w:rsidRDefault="00E64830" w:rsidP="00E64830">
      <w:pPr>
        <w:spacing w:after="200" w:line="276" w:lineRule="auto"/>
        <w:rPr>
          <w:b/>
          <w:sz w:val="22"/>
          <w:szCs w:val="22"/>
          <w:lang w:val="es-MX"/>
        </w:rPr>
      </w:pPr>
      <w:bookmarkStart w:id="3" w:name="_Toc347193368"/>
      <w:bookmarkStart w:id="4" w:name="_Toc349124260"/>
    </w:p>
    <w:p w:rsidR="003A5DA1" w:rsidRPr="00E64830" w:rsidRDefault="00E64830" w:rsidP="00E64830">
      <w:pPr>
        <w:spacing w:after="200" w:line="276" w:lineRule="auto"/>
        <w:rPr>
          <w:b/>
          <w:sz w:val="22"/>
          <w:szCs w:val="22"/>
          <w:lang w:val="es-MX"/>
        </w:rPr>
      </w:pPr>
      <w:r w:rsidRPr="00E64830">
        <w:rPr>
          <w:b/>
          <w:sz w:val="22"/>
          <w:szCs w:val="22"/>
          <w:lang w:val="es-MX"/>
        </w:rPr>
        <w:t>P</w:t>
      </w:r>
      <w:r w:rsidR="003A5DA1" w:rsidRPr="00E64830">
        <w:rPr>
          <w:b/>
          <w:sz w:val="22"/>
          <w:szCs w:val="22"/>
          <w:lang w:val="es-MX"/>
        </w:rPr>
        <w:t>ERFIL DEL CONSULTOR</w:t>
      </w:r>
      <w:bookmarkEnd w:id="3"/>
      <w:bookmarkEnd w:id="4"/>
    </w:p>
    <w:p w:rsidR="00347499" w:rsidRPr="00E64D1D" w:rsidRDefault="00347499" w:rsidP="00347499">
      <w:pPr>
        <w:ind w:left="360"/>
        <w:jc w:val="both"/>
        <w:rPr>
          <w:rFonts w:ascii="Arial" w:hAnsi="Arial" w:cs="Arial"/>
          <w:b/>
          <w:sz w:val="22"/>
          <w:szCs w:val="22"/>
          <w:lang w:val="es-MX"/>
        </w:rPr>
      </w:pPr>
    </w:p>
    <w:p w:rsidR="003A5DA1" w:rsidRPr="00E64D1D" w:rsidRDefault="00485138" w:rsidP="00E64D1D">
      <w:pPr>
        <w:ind w:left="360"/>
        <w:jc w:val="both"/>
        <w:rPr>
          <w:rFonts w:ascii="Arial" w:hAnsi="Arial" w:cs="Arial"/>
          <w:b/>
          <w:sz w:val="22"/>
          <w:szCs w:val="22"/>
          <w:lang w:val="es-MX"/>
        </w:rPr>
      </w:pPr>
      <w:r w:rsidRPr="00E64D1D">
        <w:rPr>
          <w:rFonts w:ascii="Arial" w:hAnsi="Arial" w:cs="Arial"/>
          <w:b/>
          <w:sz w:val="22"/>
          <w:szCs w:val="22"/>
          <w:lang w:val="es-MX"/>
        </w:rPr>
        <w:t>Grado Académico:</w:t>
      </w:r>
    </w:p>
    <w:p w:rsidR="00485138" w:rsidRPr="00E64D1D" w:rsidRDefault="00485138" w:rsidP="00E64D1D">
      <w:pPr>
        <w:ind w:left="360"/>
        <w:jc w:val="both"/>
        <w:rPr>
          <w:rFonts w:ascii="Arial" w:hAnsi="Arial" w:cs="Arial"/>
          <w:b/>
          <w:sz w:val="22"/>
          <w:szCs w:val="22"/>
          <w:lang w:val="es-MX"/>
        </w:rPr>
      </w:pPr>
    </w:p>
    <w:p w:rsidR="00347499" w:rsidRPr="00E64D1D" w:rsidRDefault="003A5DA1" w:rsidP="00E64D1D">
      <w:pPr>
        <w:pStyle w:val="Prrafodelista"/>
        <w:numPr>
          <w:ilvl w:val="0"/>
          <w:numId w:val="9"/>
        </w:numPr>
        <w:ind w:left="720"/>
        <w:jc w:val="both"/>
        <w:rPr>
          <w:rFonts w:ascii="Arial" w:hAnsi="Arial" w:cs="Arial"/>
          <w:sz w:val="22"/>
          <w:szCs w:val="22"/>
          <w:lang w:val="es-MX"/>
        </w:rPr>
      </w:pPr>
      <w:r w:rsidRPr="00E64D1D">
        <w:rPr>
          <w:rFonts w:ascii="Arial" w:hAnsi="Arial" w:cs="Arial"/>
          <w:sz w:val="22"/>
          <w:szCs w:val="22"/>
          <w:lang w:val="es-MX"/>
        </w:rPr>
        <w:t>Profes</w:t>
      </w:r>
      <w:r w:rsidR="00347499" w:rsidRPr="00E64D1D">
        <w:rPr>
          <w:rFonts w:ascii="Arial" w:hAnsi="Arial" w:cs="Arial"/>
          <w:sz w:val="22"/>
          <w:szCs w:val="22"/>
          <w:lang w:val="es-MX"/>
        </w:rPr>
        <w:t>ional con grado universitario</w:t>
      </w:r>
      <w:r w:rsidR="00347499" w:rsidRPr="00E64D1D">
        <w:rPr>
          <w:rFonts w:ascii="Arial" w:hAnsi="Arial" w:cs="Arial"/>
          <w:sz w:val="22"/>
          <w:szCs w:val="22"/>
          <w:lang w:val="es-ES_tradnl"/>
        </w:rPr>
        <w:t xml:space="preserve">en Ingeniería </w:t>
      </w:r>
      <w:r w:rsidR="00F9726C" w:rsidRPr="00E64D1D">
        <w:rPr>
          <w:rFonts w:ascii="Arial" w:hAnsi="Arial" w:cs="Arial"/>
          <w:sz w:val="22"/>
          <w:szCs w:val="22"/>
          <w:lang w:val="es-ES_tradnl"/>
        </w:rPr>
        <w:t>eléctrica</w:t>
      </w:r>
    </w:p>
    <w:p w:rsidR="003A5DA1" w:rsidRPr="00E64D1D" w:rsidRDefault="003A5DA1" w:rsidP="00E64D1D">
      <w:pPr>
        <w:ind w:left="360"/>
        <w:jc w:val="both"/>
        <w:rPr>
          <w:rFonts w:ascii="Arial" w:hAnsi="Arial" w:cs="Arial"/>
          <w:sz w:val="22"/>
          <w:szCs w:val="22"/>
          <w:lang w:val="es-MX"/>
        </w:rPr>
      </w:pPr>
    </w:p>
    <w:p w:rsidR="003A5DA1" w:rsidRPr="00E64D1D" w:rsidRDefault="003A5DA1" w:rsidP="00E64D1D">
      <w:pPr>
        <w:ind w:left="360"/>
        <w:jc w:val="both"/>
        <w:rPr>
          <w:rFonts w:ascii="Arial" w:hAnsi="Arial" w:cs="Arial"/>
          <w:b/>
          <w:sz w:val="22"/>
          <w:szCs w:val="22"/>
          <w:lang w:val="es-MX"/>
        </w:rPr>
      </w:pPr>
      <w:r w:rsidRPr="00E64D1D">
        <w:rPr>
          <w:rFonts w:ascii="Arial" w:hAnsi="Arial" w:cs="Arial"/>
          <w:b/>
          <w:sz w:val="22"/>
          <w:szCs w:val="22"/>
          <w:lang w:val="es-MX"/>
        </w:rPr>
        <w:t xml:space="preserve">Experiencia: </w:t>
      </w:r>
    </w:p>
    <w:p w:rsidR="00347499" w:rsidRPr="00E64D1D" w:rsidRDefault="00347499" w:rsidP="00E64D1D">
      <w:pPr>
        <w:ind w:left="360"/>
        <w:jc w:val="both"/>
        <w:rPr>
          <w:rFonts w:ascii="Arial" w:hAnsi="Arial" w:cs="Arial"/>
          <w:b/>
          <w:sz w:val="22"/>
          <w:szCs w:val="22"/>
          <w:lang w:val="es-MX"/>
        </w:rPr>
      </w:pPr>
    </w:p>
    <w:p w:rsidR="00F9726C" w:rsidRPr="00E64D1D" w:rsidRDefault="003F0B0F" w:rsidP="00E64D1D">
      <w:pPr>
        <w:pStyle w:val="NormalTimesNewRoman"/>
        <w:numPr>
          <w:ilvl w:val="0"/>
          <w:numId w:val="20"/>
        </w:numPr>
        <w:spacing w:line="240" w:lineRule="auto"/>
        <w:ind w:right="-180"/>
        <w:rPr>
          <w:rFonts w:ascii="Arial" w:hAnsi="Arial" w:cs="Arial"/>
          <w:szCs w:val="22"/>
          <w:lang w:val="es-ES_tradnl"/>
        </w:rPr>
      </w:pPr>
      <w:r w:rsidRPr="00E64D1D">
        <w:rPr>
          <w:rFonts w:ascii="Arial" w:hAnsi="Arial" w:cs="Arial"/>
          <w:szCs w:val="22"/>
          <w:lang w:val="es-MX"/>
        </w:rPr>
        <w:t xml:space="preserve">Mínimo </w:t>
      </w:r>
      <w:r w:rsidR="00F9726C" w:rsidRPr="00E64D1D">
        <w:rPr>
          <w:rFonts w:ascii="Arial" w:hAnsi="Arial" w:cs="Arial"/>
          <w:szCs w:val="22"/>
          <w:lang w:val="es-MX"/>
        </w:rPr>
        <w:t>5</w:t>
      </w:r>
      <w:r w:rsidRPr="00E64D1D">
        <w:rPr>
          <w:rFonts w:ascii="Arial" w:hAnsi="Arial" w:cs="Arial"/>
          <w:szCs w:val="22"/>
          <w:lang w:val="es-MX"/>
        </w:rPr>
        <w:t xml:space="preserve"> años de experiencia </w:t>
      </w:r>
      <w:r w:rsidR="00F9726C" w:rsidRPr="00E64D1D">
        <w:rPr>
          <w:rFonts w:ascii="Arial" w:hAnsi="Arial" w:cs="Arial"/>
          <w:szCs w:val="22"/>
          <w:lang w:val="es-MX"/>
        </w:rPr>
        <w:t>en trabajos re</w:t>
      </w:r>
      <w:r w:rsidR="00121CA5">
        <w:rPr>
          <w:rFonts w:ascii="Arial" w:hAnsi="Arial" w:cs="Arial"/>
          <w:szCs w:val="22"/>
          <w:lang w:val="es-MX"/>
        </w:rPr>
        <w:t>feridos a</w:t>
      </w:r>
      <w:r w:rsidR="00E64830">
        <w:rPr>
          <w:rFonts w:ascii="Arial" w:hAnsi="Arial" w:cs="Arial"/>
          <w:szCs w:val="22"/>
          <w:lang w:val="es-MX"/>
        </w:rPr>
        <w:t xml:space="preserve"> </w:t>
      </w:r>
      <w:r w:rsidR="00121CA5">
        <w:rPr>
          <w:rFonts w:ascii="Arial" w:hAnsi="Arial" w:cs="Arial"/>
          <w:szCs w:val="22"/>
          <w:lang w:val="es-MX"/>
        </w:rPr>
        <w:t xml:space="preserve">la preparación de </w:t>
      </w:r>
      <w:r w:rsidR="00F9726C" w:rsidRPr="00E64D1D">
        <w:rPr>
          <w:rFonts w:ascii="Arial" w:hAnsi="Arial" w:cs="Arial"/>
          <w:szCs w:val="22"/>
          <w:lang w:val="es-MX"/>
        </w:rPr>
        <w:t xml:space="preserve">contratos de </w:t>
      </w:r>
      <w:r w:rsidR="00121CA5">
        <w:rPr>
          <w:rFonts w:ascii="Arial" w:hAnsi="Arial" w:cs="Arial"/>
          <w:szCs w:val="22"/>
          <w:lang w:val="es-MX"/>
        </w:rPr>
        <w:t xml:space="preserve">compra de </w:t>
      </w:r>
      <w:r w:rsidR="00700A16" w:rsidRPr="00E64D1D">
        <w:rPr>
          <w:rFonts w:ascii="Arial" w:hAnsi="Arial" w:cs="Arial"/>
          <w:szCs w:val="22"/>
          <w:lang w:val="es-MX"/>
        </w:rPr>
        <w:t>energía</w:t>
      </w:r>
      <w:r w:rsidR="00121CA5">
        <w:rPr>
          <w:rFonts w:ascii="Arial" w:hAnsi="Arial" w:cs="Arial"/>
          <w:szCs w:val="22"/>
          <w:lang w:val="es-MX"/>
        </w:rPr>
        <w:t xml:space="preserve"> eléctrica</w:t>
      </w:r>
      <w:r w:rsidR="00700A16" w:rsidRPr="00E64D1D">
        <w:rPr>
          <w:rFonts w:ascii="Arial" w:hAnsi="Arial" w:cs="Arial"/>
          <w:szCs w:val="22"/>
          <w:lang w:val="es-MX"/>
        </w:rPr>
        <w:t>.</w:t>
      </w:r>
    </w:p>
    <w:p w:rsidR="003A5DA1" w:rsidRPr="00E64D1D" w:rsidRDefault="003A5DA1" w:rsidP="00F67804">
      <w:pPr>
        <w:pStyle w:val="NormalTimesNewRoman"/>
        <w:spacing w:line="240" w:lineRule="auto"/>
        <w:ind w:left="720" w:right="-180"/>
        <w:rPr>
          <w:rFonts w:ascii="Arial" w:hAnsi="Arial" w:cs="Arial"/>
          <w:szCs w:val="22"/>
          <w:lang w:val="es-ES_tradnl"/>
        </w:rPr>
      </w:pPr>
    </w:p>
    <w:sectPr w:rsidR="003A5DA1" w:rsidRPr="00E64D1D" w:rsidSect="00165963">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675"/>
    <w:multiLevelType w:val="hybridMultilevel"/>
    <w:tmpl w:val="3E0822C6"/>
    <w:lvl w:ilvl="0" w:tplc="480A000F">
      <w:start w:val="1"/>
      <w:numFmt w:val="decimal"/>
      <w:lvlText w:val="%1."/>
      <w:lvlJc w:val="left"/>
      <w:pPr>
        <w:ind w:left="1068" w:hanging="360"/>
      </w:pPr>
      <w:rPr>
        <w:rFonts w:hint="default"/>
      </w:r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nsid w:val="0F0317B2"/>
    <w:multiLevelType w:val="multilevel"/>
    <w:tmpl w:val="5CEC216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
    <w:nsid w:val="12F73ADE"/>
    <w:multiLevelType w:val="multilevel"/>
    <w:tmpl w:val="09764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2A4AF0"/>
    <w:multiLevelType w:val="hybridMultilevel"/>
    <w:tmpl w:val="3CF88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173514"/>
    <w:multiLevelType w:val="hybridMultilevel"/>
    <w:tmpl w:val="0B5C20F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5">
    <w:nsid w:val="1F0B2E57"/>
    <w:multiLevelType w:val="hybridMultilevel"/>
    <w:tmpl w:val="F5A2F9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27BA32FD"/>
    <w:multiLevelType w:val="hybridMultilevel"/>
    <w:tmpl w:val="3E0822C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29763DE6"/>
    <w:multiLevelType w:val="multilevel"/>
    <w:tmpl w:val="B07AB2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ABD583C"/>
    <w:multiLevelType w:val="hybridMultilevel"/>
    <w:tmpl w:val="44E0A69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9">
    <w:nsid w:val="2C560E51"/>
    <w:multiLevelType w:val="hybridMultilevel"/>
    <w:tmpl w:val="BC66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0033DC"/>
    <w:multiLevelType w:val="multilevel"/>
    <w:tmpl w:val="93409588"/>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7DA74CA"/>
    <w:multiLevelType w:val="hybridMultilevel"/>
    <w:tmpl w:val="5512224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38A70F37"/>
    <w:multiLevelType w:val="multilevel"/>
    <w:tmpl w:val="E8664F96"/>
    <w:lvl w:ilvl="0">
      <w:start w:val="3"/>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43137000"/>
    <w:multiLevelType w:val="hybridMultilevel"/>
    <w:tmpl w:val="3E0822C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4BCF0505"/>
    <w:multiLevelType w:val="hybridMultilevel"/>
    <w:tmpl w:val="029E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D57F37"/>
    <w:multiLevelType w:val="hybridMultilevel"/>
    <w:tmpl w:val="5C36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F97336"/>
    <w:multiLevelType w:val="hybridMultilevel"/>
    <w:tmpl w:val="7554A4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7">
    <w:nsid w:val="65C57F8B"/>
    <w:multiLevelType w:val="hybridMultilevel"/>
    <w:tmpl w:val="821C01A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66482EBE"/>
    <w:multiLevelType w:val="hybridMultilevel"/>
    <w:tmpl w:val="DD0C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CC0407"/>
    <w:multiLevelType w:val="hybridMultilevel"/>
    <w:tmpl w:val="D2D840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6F125582"/>
    <w:multiLevelType w:val="hybridMultilevel"/>
    <w:tmpl w:val="235C0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AF1829"/>
    <w:multiLevelType w:val="hybridMultilevel"/>
    <w:tmpl w:val="3DCA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FC4BE2"/>
    <w:multiLevelType w:val="multilevel"/>
    <w:tmpl w:val="AEFC7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CA87BBE"/>
    <w:multiLevelType w:val="multilevel"/>
    <w:tmpl w:val="09764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CCA35AB"/>
    <w:multiLevelType w:val="hybridMultilevel"/>
    <w:tmpl w:val="B4022012"/>
    <w:lvl w:ilvl="0" w:tplc="D7A2F566">
      <w:start w:val="1"/>
      <w:numFmt w:val="decimal"/>
      <w:pStyle w:val="Ttulo1"/>
      <w:lvlText w:val="%1."/>
      <w:lvlJc w:val="left"/>
      <w:pPr>
        <w:tabs>
          <w:tab w:val="num" w:pos="720"/>
        </w:tabs>
        <w:ind w:left="720" w:hanging="360"/>
      </w:pPr>
      <w:rPr>
        <w:rFonts w:hint="default"/>
      </w:rPr>
    </w:lvl>
    <w:lvl w:ilvl="1" w:tplc="E77E5BC0">
      <w:numFmt w:val="none"/>
      <w:lvlText w:val=""/>
      <w:lvlJc w:val="left"/>
      <w:pPr>
        <w:tabs>
          <w:tab w:val="num" w:pos="360"/>
        </w:tabs>
      </w:pPr>
    </w:lvl>
    <w:lvl w:ilvl="2" w:tplc="4DE24190">
      <w:numFmt w:val="none"/>
      <w:lvlText w:val=""/>
      <w:lvlJc w:val="left"/>
      <w:pPr>
        <w:tabs>
          <w:tab w:val="num" w:pos="360"/>
        </w:tabs>
      </w:pPr>
    </w:lvl>
    <w:lvl w:ilvl="3" w:tplc="85BAAE6C">
      <w:numFmt w:val="none"/>
      <w:lvlText w:val=""/>
      <w:lvlJc w:val="left"/>
      <w:pPr>
        <w:tabs>
          <w:tab w:val="num" w:pos="360"/>
        </w:tabs>
      </w:pPr>
    </w:lvl>
    <w:lvl w:ilvl="4" w:tplc="DF60E242">
      <w:numFmt w:val="none"/>
      <w:lvlText w:val=""/>
      <w:lvlJc w:val="left"/>
      <w:pPr>
        <w:tabs>
          <w:tab w:val="num" w:pos="360"/>
        </w:tabs>
      </w:pPr>
    </w:lvl>
    <w:lvl w:ilvl="5" w:tplc="C11E45FA">
      <w:numFmt w:val="none"/>
      <w:lvlText w:val=""/>
      <w:lvlJc w:val="left"/>
      <w:pPr>
        <w:tabs>
          <w:tab w:val="num" w:pos="360"/>
        </w:tabs>
      </w:pPr>
    </w:lvl>
    <w:lvl w:ilvl="6" w:tplc="ECC4D088">
      <w:numFmt w:val="none"/>
      <w:lvlText w:val=""/>
      <w:lvlJc w:val="left"/>
      <w:pPr>
        <w:tabs>
          <w:tab w:val="num" w:pos="360"/>
        </w:tabs>
      </w:pPr>
    </w:lvl>
    <w:lvl w:ilvl="7" w:tplc="B232A40A">
      <w:numFmt w:val="none"/>
      <w:lvlText w:val=""/>
      <w:lvlJc w:val="left"/>
      <w:pPr>
        <w:tabs>
          <w:tab w:val="num" w:pos="360"/>
        </w:tabs>
      </w:pPr>
    </w:lvl>
    <w:lvl w:ilvl="8" w:tplc="90A48EF0">
      <w:numFmt w:val="none"/>
      <w:lvlText w:val=""/>
      <w:lvlJc w:val="left"/>
      <w:pPr>
        <w:tabs>
          <w:tab w:val="num" w:pos="360"/>
        </w:tabs>
      </w:pPr>
    </w:lvl>
  </w:abstractNum>
  <w:abstractNum w:abstractNumId="25">
    <w:nsid w:val="7CF21735"/>
    <w:multiLevelType w:val="hybridMultilevel"/>
    <w:tmpl w:val="06F41902"/>
    <w:lvl w:ilvl="0" w:tplc="480A000F">
      <w:start w:val="1"/>
      <w:numFmt w:val="decimal"/>
      <w:lvlText w:val="%1."/>
      <w:lvlJc w:val="left"/>
      <w:pPr>
        <w:ind w:left="1091" w:hanging="360"/>
      </w:pPr>
      <w:rPr>
        <w:rFont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num w:numId="1">
    <w:abstractNumId w:val="24"/>
  </w:num>
  <w:num w:numId="2">
    <w:abstractNumId w:val="10"/>
  </w:num>
  <w:num w:numId="3">
    <w:abstractNumId w:val="11"/>
  </w:num>
  <w:num w:numId="4">
    <w:abstractNumId w:val="19"/>
  </w:num>
  <w:num w:numId="5">
    <w:abstractNumId w:val="17"/>
  </w:num>
  <w:num w:numId="6">
    <w:abstractNumId w:val="5"/>
  </w:num>
  <w:num w:numId="7">
    <w:abstractNumId w:val="12"/>
  </w:num>
  <w:num w:numId="8">
    <w:abstractNumId w:val="21"/>
  </w:num>
  <w:num w:numId="9">
    <w:abstractNumId w:val="20"/>
  </w:num>
  <w:num w:numId="10">
    <w:abstractNumId w:val="9"/>
  </w:num>
  <w:num w:numId="11">
    <w:abstractNumId w:val="14"/>
  </w:num>
  <w:num w:numId="12">
    <w:abstractNumId w:val="4"/>
  </w:num>
  <w:num w:numId="13">
    <w:abstractNumId w:val="18"/>
  </w:num>
  <w:num w:numId="14">
    <w:abstractNumId w:val="15"/>
  </w:num>
  <w:num w:numId="15">
    <w:abstractNumId w:val="1"/>
  </w:num>
  <w:num w:numId="16">
    <w:abstractNumId w:val="22"/>
  </w:num>
  <w:num w:numId="17">
    <w:abstractNumId w:val="7"/>
  </w:num>
  <w:num w:numId="18">
    <w:abstractNumId w:val="2"/>
  </w:num>
  <w:num w:numId="19">
    <w:abstractNumId w:val="16"/>
  </w:num>
  <w:num w:numId="20">
    <w:abstractNumId w:val="3"/>
  </w:num>
  <w:num w:numId="21">
    <w:abstractNumId w:val="23"/>
  </w:num>
  <w:num w:numId="22">
    <w:abstractNumId w:val="8"/>
  </w:num>
  <w:num w:numId="23">
    <w:abstractNumId w:val="24"/>
  </w:num>
  <w:num w:numId="24">
    <w:abstractNumId w:val="24"/>
  </w:num>
  <w:num w:numId="25">
    <w:abstractNumId w:val="6"/>
  </w:num>
  <w:num w:numId="26">
    <w:abstractNumId w:val="13"/>
  </w:num>
  <w:num w:numId="27">
    <w:abstractNumId w:val="25"/>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A5DA1"/>
    <w:rsid w:val="00007A14"/>
    <w:rsid w:val="0009216C"/>
    <w:rsid w:val="000C53ED"/>
    <w:rsid w:val="00121CA5"/>
    <w:rsid w:val="00141F90"/>
    <w:rsid w:val="00146EB3"/>
    <w:rsid w:val="0017020B"/>
    <w:rsid w:val="00170A6C"/>
    <w:rsid w:val="00172899"/>
    <w:rsid w:val="00186B6A"/>
    <w:rsid w:val="00192E68"/>
    <w:rsid w:val="0028178B"/>
    <w:rsid w:val="002829BF"/>
    <w:rsid w:val="003138C2"/>
    <w:rsid w:val="00347499"/>
    <w:rsid w:val="003A5DA1"/>
    <w:rsid w:val="003B303D"/>
    <w:rsid w:val="003F0B0F"/>
    <w:rsid w:val="00412DAA"/>
    <w:rsid w:val="00460633"/>
    <w:rsid w:val="00485138"/>
    <w:rsid w:val="004A1118"/>
    <w:rsid w:val="004A1B0F"/>
    <w:rsid w:val="004E0253"/>
    <w:rsid w:val="004E26EE"/>
    <w:rsid w:val="004E4047"/>
    <w:rsid w:val="005236E3"/>
    <w:rsid w:val="00530E89"/>
    <w:rsid w:val="00532022"/>
    <w:rsid w:val="0056353D"/>
    <w:rsid w:val="0057791D"/>
    <w:rsid w:val="005A00C2"/>
    <w:rsid w:val="005C7D92"/>
    <w:rsid w:val="005E4869"/>
    <w:rsid w:val="00631900"/>
    <w:rsid w:val="006649BE"/>
    <w:rsid w:val="006A2B7C"/>
    <w:rsid w:val="006F382A"/>
    <w:rsid w:val="006F6148"/>
    <w:rsid w:val="00700A16"/>
    <w:rsid w:val="00715C13"/>
    <w:rsid w:val="00724F99"/>
    <w:rsid w:val="007341D6"/>
    <w:rsid w:val="00767D26"/>
    <w:rsid w:val="007B332B"/>
    <w:rsid w:val="008031CA"/>
    <w:rsid w:val="008A65A6"/>
    <w:rsid w:val="008B7D77"/>
    <w:rsid w:val="008C6DE5"/>
    <w:rsid w:val="009519C7"/>
    <w:rsid w:val="009724EA"/>
    <w:rsid w:val="009A3AF3"/>
    <w:rsid w:val="009E7CD3"/>
    <w:rsid w:val="00A5170E"/>
    <w:rsid w:val="00A943AB"/>
    <w:rsid w:val="00AD62B4"/>
    <w:rsid w:val="00B30DD3"/>
    <w:rsid w:val="00B44069"/>
    <w:rsid w:val="00B5292C"/>
    <w:rsid w:val="00B56BA7"/>
    <w:rsid w:val="00B65B59"/>
    <w:rsid w:val="00B6787F"/>
    <w:rsid w:val="00BB1D49"/>
    <w:rsid w:val="00CA3106"/>
    <w:rsid w:val="00CA3ECF"/>
    <w:rsid w:val="00CB28B4"/>
    <w:rsid w:val="00CF3047"/>
    <w:rsid w:val="00DB71DF"/>
    <w:rsid w:val="00DF164C"/>
    <w:rsid w:val="00E50031"/>
    <w:rsid w:val="00E520ED"/>
    <w:rsid w:val="00E574FB"/>
    <w:rsid w:val="00E64830"/>
    <w:rsid w:val="00E64D1D"/>
    <w:rsid w:val="00ED2B71"/>
    <w:rsid w:val="00EF2761"/>
    <w:rsid w:val="00EF3DA5"/>
    <w:rsid w:val="00F31A64"/>
    <w:rsid w:val="00F41F8D"/>
    <w:rsid w:val="00F67804"/>
    <w:rsid w:val="00F9726C"/>
    <w:rsid w:val="00FA75F4"/>
    <w:rsid w:val="00FC6254"/>
    <w:rsid w:val="00FD0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3A5DA1"/>
    <w:pPr>
      <w:keepNext/>
      <w:numPr>
        <w:numId w:val="1"/>
      </w:numPr>
      <w:jc w:val="both"/>
      <w:outlineLvl w:val="0"/>
    </w:pPr>
    <w:rPr>
      <w:rFonts w:ascii="Arial" w:hAnsi="Arial" w:cs="Arial"/>
      <w:b/>
      <w:bCs/>
      <w:sz w:val="28"/>
      <w:lang w:val="es-ES"/>
    </w:rPr>
  </w:style>
  <w:style w:type="paragraph" w:styleId="Ttulo3">
    <w:name w:val="heading 3"/>
    <w:basedOn w:val="Normal"/>
    <w:next w:val="Normal"/>
    <w:link w:val="Ttulo3C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DA1"/>
    <w:rPr>
      <w:rFonts w:ascii="Arial" w:eastAsia="Times New Roman" w:hAnsi="Arial" w:cs="Arial"/>
      <w:b/>
      <w:bCs/>
      <w:sz w:val="28"/>
      <w:szCs w:val="24"/>
    </w:rPr>
  </w:style>
  <w:style w:type="paragraph" w:styleId="Prrafodelista">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Encabezado">
    <w:name w:val="header"/>
    <w:basedOn w:val="Normal"/>
    <w:link w:val="EncabezadoCar"/>
    <w:rsid w:val="003A5DA1"/>
    <w:pPr>
      <w:tabs>
        <w:tab w:val="center" w:pos="4680"/>
        <w:tab w:val="right" w:pos="9360"/>
      </w:tabs>
    </w:pPr>
  </w:style>
  <w:style w:type="character" w:customStyle="1" w:styleId="EncabezadoCar">
    <w:name w:val="Encabezado Car"/>
    <w:basedOn w:val="Fuentedeprrafopredeter"/>
    <w:link w:val="Encabezado"/>
    <w:rsid w:val="003A5DA1"/>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3A5DA1"/>
    <w:rPr>
      <w:color w:val="0000FF"/>
      <w:u w:val="single"/>
    </w:rPr>
  </w:style>
  <w:style w:type="paragraph" w:styleId="TtulodeTDC">
    <w:name w:val="TOC Heading"/>
    <w:basedOn w:val="Ttulo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DC1">
    <w:name w:val="toc 1"/>
    <w:basedOn w:val="Normal"/>
    <w:next w:val="Normal"/>
    <w:autoRedefine/>
    <w:uiPriority w:val="39"/>
    <w:rsid w:val="003A5DA1"/>
    <w:pPr>
      <w:spacing w:after="100"/>
    </w:pPr>
  </w:style>
  <w:style w:type="paragraph" w:styleId="Textodeglobo">
    <w:name w:val="Balloon Text"/>
    <w:basedOn w:val="Normal"/>
    <w:link w:val="TextodegloboCar"/>
    <w:uiPriority w:val="99"/>
    <w:semiHidden/>
    <w:unhideWhenUsed/>
    <w:rsid w:val="003A5DA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Sombreadoclaro-nfasis2">
    <w:name w:val="Light Shading Accent 2"/>
    <w:basedOn w:val="Tabla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3Car">
    <w:name w:val="Título 3 Car"/>
    <w:basedOn w:val="Fuentedeprrafopredeter"/>
    <w:link w:val="Ttulo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Textoindependiente">
    <w:name w:val="Body Text"/>
    <w:basedOn w:val="Normal"/>
    <w:link w:val="TextoindependienteCar"/>
    <w:rsid w:val="00530E89"/>
    <w:pPr>
      <w:spacing w:after="240" w:line="240" w:lineRule="atLeast"/>
      <w:jc w:val="both"/>
    </w:pPr>
    <w:rPr>
      <w:rFonts w:ascii="Garamond" w:hAnsi="Garamond"/>
      <w:sz w:val="22"/>
      <w:szCs w:val="20"/>
      <w:lang w:val="es-ES"/>
    </w:rPr>
  </w:style>
  <w:style w:type="character" w:customStyle="1" w:styleId="TextoindependienteCar">
    <w:name w:val="Texto independiente Car"/>
    <w:basedOn w:val="Fuentedeprrafopredeter"/>
    <w:link w:val="Textoindependiente"/>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A75F4"/>
    <w:rPr>
      <w:sz w:val="16"/>
      <w:szCs w:val="16"/>
    </w:rPr>
  </w:style>
  <w:style w:type="paragraph" w:styleId="Textocomentario">
    <w:name w:val="annotation text"/>
    <w:basedOn w:val="Normal"/>
    <w:link w:val="TextocomentarioCar"/>
    <w:uiPriority w:val="99"/>
    <w:semiHidden/>
    <w:unhideWhenUsed/>
    <w:rsid w:val="00FA75F4"/>
    <w:rPr>
      <w:sz w:val="20"/>
      <w:szCs w:val="20"/>
    </w:rPr>
  </w:style>
  <w:style w:type="character" w:customStyle="1" w:styleId="TextocomentarioCar">
    <w:name w:val="Texto comentario Car"/>
    <w:basedOn w:val="Fuentedeprrafopredeter"/>
    <w:link w:val="Textocomentario"/>
    <w:uiPriority w:val="99"/>
    <w:semiHidden/>
    <w:rsid w:val="00FA75F4"/>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A75F4"/>
    <w:rPr>
      <w:b/>
      <w:bCs/>
    </w:rPr>
  </w:style>
  <w:style w:type="character" w:customStyle="1" w:styleId="AsuntodelcomentarioCar">
    <w:name w:val="Asunto del comentario Car"/>
    <w:basedOn w:val="TextocomentarioCar"/>
    <w:link w:val="Asuntodelcomentario"/>
    <w:uiPriority w:val="99"/>
    <w:semiHidden/>
    <w:rsid w:val="00FA75F4"/>
    <w:rPr>
      <w:rFonts w:ascii="Times New Roman" w:eastAsia="Times New Roman" w:hAnsi="Times New Roman" w:cs="Times New Roman"/>
      <w:b/>
      <w:bCs/>
      <w:sz w:val="20"/>
      <w:szCs w:val="20"/>
      <w:lang w:val="en-US"/>
    </w:rPr>
  </w:style>
  <w:style w:type="table" w:styleId="Tablaconcuadrcula">
    <w:name w:val="Table Grid"/>
    <w:basedOn w:val="Tablanormal"/>
    <w:uiPriority w:val="59"/>
    <w:rsid w:val="00A94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rsid w:val="00CB28B4"/>
    <w:pPr>
      <w:spacing w:after="100"/>
      <w:ind w:left="240"/>
    </w:pPr>
  </w:style>
  <w:style w:type="paragraph" w:styleId="Revisin">
    <w:name w:val="Revision"/>
    <w:hidden/>
    <w:uiPriority w:val="99"/>
    <w:semiHidden/>
    <w:rsid w:val="00E64D1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5DA1"/>
    <w:pPr>
      <w:keepNext/>
      <w:numPr>
        <w:numId w:val="1"/>
      </w:numPr>
      <w:jc w:val="both"/>
      <w:outlineLvl w:val="0"/>
    </w:pPr>
    <w:rPr>
      <w:rFonts w:ascii="Arial" w:hAnsi="Arial" w:cs="Arial"/>
      <w:b/>
      <w:bCs/>
      <w:sz w:val="28"/>
      <w:lang w:val="es-ES"/>
    </w:rPr>
  </w:style>
  <w:style w:type="paragraph" w:styleId="Heading3">
    <w:name w:val="heading 3"/>
    <w:basedOn w:val="Normal"/>
    <w:next w:val="Normal"/>
    <w:link w:val="Heading3Ch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DA1"/>
    <w:rPr>
      <w:rFonts w:ascii="Arial" w:eastAsia="Times New Roman" w:hAnsi="Arial" w:cs="Arial"/>
      <w:b/>
      <w:bCs/>
      <w:sz w:val="28"/>
      <w:szCs w:val="24"/>
    </w:rPr>
  </w:style>
  <w:style w:type="paragraph" w:styleId="ListParagraph">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Header">
    <w:name w:val="header"/>
    <w:basedOn w:val="Normal"/>
    <w:link w:val="HeaderChar"/>
    <w:rsid w:val="003A5DA1"/>
    <w:pPr>
      <w:tabs>
        <w:tab w:val="center" w:pos="4680"/>
        <w:tab w:val="right" w:pos="9360"/>
      </w:tabs>
    </w:pPr>
  </w:style>
  <w:style w:type="character" w:customStyle="1" w:styleId="HeaderChar">
    <w:name w:val="Header Char"/>
    <w:basedOn w:val="DefaultParagraphFont"/>
    <w:link w:val="Header"/>
    <w:rsid w:val="003A5DA1"/>
    <w:rPr>
      <w:rFonts w:ascii="Times New Roman" w:eastAsia="Times New Roman" w:hAnsi="Times New Roman" w:cs="Times New Roman"/>
      <w:sz w:val="24"/>
      <w:szCs w:val="24"/>
      <w:lang w:val="en-US"/>
    </w:rPr>
  </w:style>
  <w:style w:type="character" w:styleId="Hyperlink">
    <w:name w:val="Hyperlink"/>
    <w:basedOn w:val="DefaultParagraphFont"/>
    <w:uiPriority w:val="99"/>
    <w:rsid w:val="003A5DA1"/>
    <w:rPr>
      <w:color w:val="0000FF"/>
      <w:u w:val="single"/>
    </w:rPr>
  </w:style>
  <w:style w:type="paragraph" w:styleId="TOCHeading">
    <w:name w:val="TOC Heading"/>
    <w:basedOn w:val="Heading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rsid w:val="003A5DA1"/>
    <w:pPr>
      <w:spacing w:after="100"/>
    </w:pPr>
  </w:style>
  <w:style w:type="paragraph" w:styleId="BalloonText">
    <w:name w:val="Balloon Text"/>
    <w:basedOn w:val="Normal"/>
    <w:link w:val="BalloonTextChar"/>
    <w:uiPriority w:val="99"/>
    <w:semiHidden/>
    <w:unhideWhenUsed/>
    <w:rsid w:val="003A5DA1"/>
    <w:rPr>
      <w:rFonts w:ascii="Tahoma" w:hAnsi="Tahoma" w:cs="Tahoma"/>
      <w:sz w:val="16"/>
      <w:szCs w:val="16"/>
    </w:rPr>
  </w:style>
  <w:style w:type="character" w:customStyle="1" w:styleId="BalloonTextChar">
    <w:name w:val="Balloon Text Char"/>
    <w:basedOn w:val="DefaultParagraphFont"/>
    <w:link w:val="BalloonText"/>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LightShading-Accent2">
    <w:name w:val="Light Shading Accent 2"/>
    <w:basedOn w:val="Table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3Char">
    <w:name w:val="Heading 3 Char"/>
    <w:basedOn w:val="DefaultParagraphFont"/>
    <w:link w:val="Heading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BodyText">
    <w:name w:val="Body Text"/>
    <w:basedOn w:val="Normal"/>
    <w:link w:val="BodyTextChar"/>
    <w:rsid w:val="00530E89"/>
    <w:pPr>
      <w:spacing w:after="240" w:line="240" w:lineRule="atLeast"/>
      <w:jc w:val="both"/>
    </w:pPr>
    <w:rPr>
      <w:rFonts w:ascii="Garamond" w:hAnsi="Garamond"/>
      <w:sz w:val="22"/>
      <w:szCs w:val="20"/>
      <w:lang w:val="es-ES"/>
    </w:rPr>
  </w:style>
  <w:style w:type="character" w:customStyle="1" w:styleId="BodyTextChar">
    <w:name w:val="Body Text Char"/>
    <w:basedOn w:val="DefaultParagraphFont"/>
    <w:link w:val="BodyText"/>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character" w:styleId="CommentReference">
    <w:name w:val="annotation reference"/>
    <w:basedOn w:val="DefaultParagraphFont"/>
    <w:uiPriority w:val="99"/>
    <w:semiHidden/>
    <w:unhideWhenUsed/>
    <w:rsid w:val="00FA75F4"/>
    <w:rPr>
      <w:sz w:val="16"/>
      <w:szCs w:val="16"/>
    </w:rPr>
  </w:style>
  <w:style w:type="paragraph" w:styleId="CommentText">
    <w:name w:val="annotation text"/>
    <w:basedOn w:val="Normal"/>
    <w:link w:val="CommentTextChar"/>
    <w:uiPriority w:val="99"/>
    <w:semiHidden/>
    <w:unhideWhenUsed/>
    <w:rsid w:val="00FA75F4"/>
    <w:rPr>
      <w:sz w:val="20"/>
      <w:szCs w:val="20"/>
    </w:rPr>
  </w:style>
  <w:style w:type="character" w:customStyle="1" w:styleId="CommentTextChar">
    <w:name w:val="Comment Text Char"/>
    <w:basedOn w:val="DefaultParagraphFont"/>
    <w:link w:val="CommentText"/>
    <w:uiPriority w:val="99"/>
    <w:semiHidden/>
    <w:rsid w:val="00FA75F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A75F4"/>
    <w:rPr>
      <w:b/>
      <w:bCs/>
    </w:rPr>
  </w:style>
  <w:style w:type="character" w:customStyle="1" w:styleId="CommentSubjectChar">
    <w:name w:val="Comment Subject Char"/>
    <w:basedOn w:val="CommentTextChar"/>
    <w:link w:val="CommentSubject"/>
    <w:uiPriority w:val="99"/>
    <w:semiHidden/>
    <w:rsid w:val="00FA75F4"/>
    <w:rPr>
      <w:rFonts w:ascii="Times New Roman" w:eastAsia="Times New Roman" w:hAnsi="Times New Roman" w:cs="Times New Roman"/>
      <w:b/>
      <w:bCs/>
      <w:sz w:val="20"/>
      <w:szCs w:val="20"/>
      <w:lang w:val="en-US"/>
    </w:rPr>
  </w:style>
  <w:style w:type="table" w:styleId="TableGrid">
    <w:name w:val="Table Grid"/>
    <w:basedOn w:val="TableNormal"/>
    <w:uiPriority w:val="59"/>
    <w:rsid w:val="00A94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B28B4"/>
    <w:pPr>
      <w:spacing w:after="100"/>
      <w:ind w:left="240"/>
    </w:pPr>
  </w:style>
  <w:style w:type="paragraph" w:styleId="Revision">
    <w:name w:val="Revision"/>
    <w:hidden/>
    <w:uiPriority w:val="99"/>
    <w:semiHidden/>
    <w:rsid w:val="00E64D1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533306243">
      <w:bodyDiv w:val="1"/>
      <w:marLeft w:val="0"/>
      <w:marRight w:val="0"/>
      <w:marTop w:val="0"/>
      <w:marBottom w:val="0"/>
      <w:divBdr>
        <w:top w:val="none" w:sz="0" w:space="0" w:color="auto"/>
        <w:left w:val="none" w:sz="0" w:space="0" w:color="auto"/>
        <w:bottom w:val="none" w:sz="0" w:space="0" w:color="auto"/>
        <w:right w:val="none" w:sz="0" w:space="0" w:color="auto"/>
      </w:divBdr>
    </w:div>
    <w:div w:id="1664432883">
      <w:bodyDiv w:val="1"/>
      <w:marLeft w:val="0"/>
      <w:marRight w:val="0"/>
      <w:marTop w:val="0"/>
      <w:marBottom w:val="0"/>
      <w:divBdr>
        <w:top w:val="none" w:sz="0" w:space="0" w:color="auto"/>
        <w:left w:val="none" w:sz="0" w:space="0" w:color="auto"/>
        <w:bottom w:val="none" w:sz="0" w:space="0" w:color="auto"/>
        <w:right w:val="none" w:sz="0" w:space="0" w:color="auto"/>
      </w:divBdr>
      <w:divsChild>
        <w:div w:id="1825005230">
          <w:marLeft w:val="0"/>
          <w:marRight w:val="0"/>
          <w:marTop w:val="0"/>
          <w:marBottom w:val="0"/>
          <w:divBdr>
            <w:top w:val="none" w:sz="0" w:space="0" w:color="auto"/>
            <w:left w:val="none" w:sz="0" w:space="0" w:color="auto"/>
            <w:bottom w:val="none" w:sz="0" w:space="0" w:color="auto"/>
            <w:right w:val="none" w:sz="0" w:space="0" w:color="auto"/>
          </w:divBdr>
          <w:divsChild>
            <w:div w:id="924338514">
              <w:marLeft w:val="0"/>
              <w:marRight w:val="0"/>
              <w:marTop w:val="0"/>
              <w:marBottom w:val="0"/>
              <w:divBdr>
                <w:top w:val="none" w:sz="0" w:space="0" w:color="auto"/>
                <w:left w:val="none" w:sz="0" w:space="0" w:color="auto"/>
                <w:bottom w:val="none" w:sz="0" w:space="0" w:color="auto"/>
                <w:right w:val="none" w:sz="0" w:space="0" w:color="auto"/>
              </w:divBdr>
              <w:divsChild>
                <w:div w:id="719279935">
                  <w:marLeft w:val="0"/>
                  <w:marRight w:val="0"/>
                  <w:marTop w:val="0"/>
                  <w:marBottom w:val="0"/>
                  <w:divBdr>
                    <w:top w:val="none" w:sz="0" w:space="0" w:color="auto"/>
                    <w:left w:val="none" w:sz="0" w:space="0" w:color="auto"/>
                    <w:bottom w:val="none" w:sz="0" w:space="0" w:color="auto"/>
                    <w:right w:val="none" w:sz="0" w:space="0" w:color="auto"/>
                  </w:divBdr>
                  <w:divsChild>
                    <w:div w:id="1346635901">
                      <w:marLeft w:val="0"/>
                      <w:marRight w:val="0"/>
                      <w:marTop w:val="0"/>
                      <w:marBottom w:val="0"/>
                      <w:divBdr>
                        <w:top w:val="none" w:sz="0" w:space="0" w:color="auto"/>
                        <w:left w:val="none" w:sz="0" w:space="0" w:color="auto"/>
                        <w:bottom w:val="none" w:sz="0" w:space="0" w:color="auto"/>
                        <w:right w:val="none" w:sz="0" w:space="0" w:color="auto"/>
                      </w:divBdr>
                      <w:divsChild>
                        <w:div w:id="5284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F0E0B-96F5-499F-99CE-AB21BA66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4323</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Victoria Abril Lainez</cp:lastModifiedBy>
  <cp:revision>3</cp:revision>
  <dcterms:created xsi:type="dcterms:W3CDTF">2013-09-07T19:52:00Z</dcterms:created>
  <dcterms:modified xsi:type="dcterms:W3CDTF">2013-09-07T19:53:00Z</dcterms:modified>
</cp:coreProperties>
</file>