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4EDF" w14:textId="77777777" w:rsidR="00E62A56" w:rsidRPr="00A90E99" w:rsidRDefault="00E62A56" w:rsidP="00255FEF">
      <w:pPr>
        <w:jc w:val="center"/>
        <w:rPr>
          <w:rFonts w:ascii="Arial" w:hAnsi="Arial" w:cs="Arial"/>
          <w:sz w:val="24"/>
          <w:szCs w:val="24"/>
        </w:rPr>
      </w:pPr>
    </w:p>
    <w:p w14:paraId="132793BC" w14:textId="77777777" w:rsidR="007109A0" w:rsidRPr="00A90E99" w:rsidRDefault="00255FEF" w:rsidP="007109A0">
      <w:pPr>
        <w:jc w:val="center"/>
        <w:rPr>
          <w:rFonts w:ascii="Arial" w:hAnsi="Arial" w:cs="Arial"/>
          <w:b/>
          <w:sz w:val="24"/>
          <w:szCs w:val="24"/>
        </w:rPr>
      </w:pPr>
      <w:r w:rsidRPr="00A90E99">
        <w:rPr>
          <w:rFonts w:ascii="Arial" w:hAnsi="Arial" w:cs="Arial"/>
          <w:b/>
          <w:sz w:val="24"/>
          <w:szCs w:val="24"/>
        </w:rPr>
        <w:t>ANEXO No. 1</w:t>
      </w:r>
    </w:p>
    <w:p w14:paraId="705B5B27" w14:textId="385D52C6" w:rsidR="00882DC2" w:rsidRPr="00A90E99" w:rsidRDefault="00975B9C" w:rsidP="00882DC2">
      <w:pPr>
        <w:pStyle w:val="Prrafodelista"/>
        <w:autoSpaceDE w:val="0"/>
        <w:autoSpaceDN w:val="0"/>
        <w:adjustRightInd w:val="0"/>
        <w:spacing w:after="0" w:line="240" w:lineRule="auto"/>
        <w:ind w:left="420"/>
        <w:rPr>
          <w:rFonts w:ascii="Arial" w:hAnsi="Arial" w:cs="Arial"/>
          <w:b/>
          <w:bCs/>
          <w:sz w:val="24"/>
          <w:szCs w:val="24"/>
        </w:rPr>
      </w:pPr>
      <w:r w:rsidRPr="00A90E99">
        <w:rPr>
          <w:rFonts w:ascii="Arial" w:hAnsi="Arial" w:cs="Arial"/>
          <w:b/>
          <w:bCs/>
          <w:sz w:val="24"/>
          <w:szCs w:val="24"/>
        </w:rPr>
        <w:t>Licitación P</w:t>
      </w:r>
      <w:r w:rsidR="00446DF2" w:rsidRPr="00A90E99">
        <w:rPr>
          <w:rFonts w:ascii="Arial" w:hAnsi="Arial" w:cs="Arial"/>
          <w:b/>
          <w:bCs/>
          <w:sz w:val="24"/>
          <w:szCs w:val="24"/>
        </w:rPr>
        <w:t>ública</w:t>
      </w:r>
    </w:p>
    <w:p w14:paraId="7BC4C86C" w14:textId="145E00F4" w:rsidR="00882DC2" w:rsidRPr="00A90E99" w:rsidRDefault="006B49CC" w:rsidP="00882DC2">
      <w:pPr>
        <w:pStyle w:val="Prrafodelista"/>
        <w:autoSpaceDE w:val="0"/>
        <w:autoSpaceDN w:val="0"/>
        <w:adjustRightInd w:val="0"/>
        <w:spacing w:after="0" w:line="240" w:lineRule="auto"/>
        <w:ind w:left="420"/>
        <w:rPr>
          <w:rFonts w:ascii="Arial" w:hAnsi="Arial" w:cs="Arial"/>
          <w:b/>
          <w:bCs/>
          <w:sz w:val="24"/>
          <w:szCs w:val="24"/>
        </w:rPr>
      </w:pPr>
      <w:r w:rsidRPr="00A90E99">
        <w:rPr>
          <w:rFonts w:ascii="Arial" w:hAnsi="Arial" w:cs="Arial"/>
          <w:b/>
          <w:bCs/>
          <w:sz w:val="24"/>
          <w:szCs w:val="24"/>
        </w:rPr>
        <w:t>No. IPM-LP</w:t>
      </w:r>
      <w:r w:rsidR="00D45002" w:rsidRPr="00A90E99">
        <w:rPr>
          <w:rFonts w:ascii="Arial" w:hAnsi="Arial" w:cs="Arial"/>
          <w:b/>
          <w:bCs/>
          <w:sz w:val="24"/>
          <w:szCs w:val="24"/>
        </w:rPr>
        <w:t>N</w:t>
      </w:r>
      <w:r w:rsidRPr="00A90E99">
        <w:rPr>
          <w:rFonts w:ascii="Arial" w:hAnsi="Arial" w:cs="Arial"/>
          <w:b/>
          <w:bCs/>
          <w:sz w:val="24"/>
          <w:szCs w:val="24"/>
        </w:rPr>
        <w:t>-GC-</w:t>
      </w:r>
      <w:r w:rsidR="00877157" w:rsidRPr="00A90E99">
        <w:rPr>
          <w:rFonts w:ascii="Arial" w:hAnsi="Arial" w:cs="Arial"/>
          <w:b/>
          <w:bCs/>
          <w:sz w:val="24"/>
          <w:szCs w:val="24"/>
        </w:rPr>
        <w:t>202</w:t>
      </w:r>
      <w:r w:rsidR="00C279F8" w:rsidRPr="00A90E99">
        <w:rPr>
          <w:rFonts w:ascii="Arial" w:hAnsi="Arial" w:cs="Arial"/>
          <w:b/>
          <w:bCs/>
          <w:sz w:val="24"/>
          <w:szCs w:val="24"/>
        </w:rPr>
        <w:t>6</w:t>
      </w:r>
      <w:r w:rsidR="00877157" w:rsidRPr="00A90E99">
        <w:rPr>
          <w:rFonts w:ascii="Arial" w:hAnsi="Arial" w:cs="Arial"/>
          <w:b/>
          <w:bCs/>
          <w:sz w:val="24"/>
          <w:szCs w:val="24"/>
        </w:rPr>
        <w:t>-0</w:t>
      </w:r>
      <w:r w:rsidR="00C279F8" w:rsidRPr="00A90E99">
        <w:rPr>
          <w:rFonts w:ascii="Arial" w:hAnsi="Arial" w:cs="Arial"/>
          <w:b/>
          <w:bCs/>
          <w:sz w:val="24"/>
          <w:szCs w:val="24"/>
        </w:rPr>
        <w:t>0</w:t>
      </w:r>
      <w:r w:rsidR="00446DF2" w:rsidRPr="00A90E99">
        <w:rPr>
          <w:rFonts w:ascii="Arial" w:hAnsi="Arial" w:cs="Arial"/>
          <w:b/>
          <w:bCs/>
          <w:sz w:val="24"/>
          <w:szCs w:val="24"/>
        </w:rPr>
        <w:t>7</w:t>
      </w:r>
    </w:p>
    <w:p w14:paraId="4749CEBF" w14:textId="77777777" w:rsidR="00882DC2" w:rsidRPr="00A90E99" w:rsidRDefault="00882DC2" w:rsidP="00882DC2">
      <w:pPr>
        <w:pStyle w:val="Prrafodelista"/>
        <w:autoSpaceDE w:val="0"/>
        <w:autoSpaceDN w:val="0"/>
        <w:adjustRightInd w:val="0"/>
        <w:spacing w:after="0" w:line="240" w:lineRule="auto"/>
        <w:ind w:left="420"/>
        <w:jc w:val="both"/>
        <w:rPr>
          <w:rFonts w:ascii="Arial" w:hAnsi="Arial" w:cs="Arial"/>
          <w:b/>
          <w:bCs/>
          <w:sz w:val="24"/>
          <w:szCs w:val="24"/>
        </w:rPr>
      </w:pPr>
    </w:p>
    <w:p w14:paraId="555631FB" w14:textId="7AE885E3" w:rsidR="00D67D38" w:rsidRPr="00A90E99" w:rsidRDefault="00D67D38" w:rsidP="004A7BF9">
      <w:pPr>
        <w:pStyle w:val="Prrafodelista"/>
        <w:spacing w:before="120" w:after="120" w:line="360" w:lineRule="auto"/>
        <w:ind w:left="420"/>
        <w:jc w:val="both"/>
        <w:rPr>
          <w:rFonts w:ascii="Arial" w:hAnsi="Arial" w:cs="Arial"/>
          <w:b/>
          <w:bCs/>
          <w:sz w:val="24"/>
          <w:szCs w:val="24"/>
        </w:rPr>
      </w:pPr>
      <w:r w:rsidRPr="00A90E99">
        <w:rPr>
          <w:rFonts w:ascii="Arial" w:hAnsi="Arial" w:cs="Arial"/>
          <w:b/>
          <w:bCs/>
          <w:sz w:val="24"/>
          <w:szCs w:val="24"/>
        </w:rPr>
        <w:t xml:space="preserve"> </w:t>
      </w:r>
      <w:r w:rsidR="00E0777E" w:rsidRPr="00A90E99">
        <w:rPr>
          <w:rFonts w:ascii="Arial" w:hAnsi="Arial" w:cs="Arial"/>
          <w:b/>
          <w:bCs/>
          <w:sz w:val="24"/>
          <w:szCs w:val="24"/>
        </w:rPr>
        <w:t>ADQUISICION E INSTALACIÓN DE CÁMARAS DE VIGILANCIA PARA MEJORA DEL SISTEMA CCTV IPM, CENTRO DE DÍA Y LAS VENTANILLAS DE ATENCIÓN INTEGRAL AL AFILIADO Y MANTENIMIENTO AL SISTEMA DE SEGURIDAD CCTV COMPLEJO IPM TEGUCIGALPA, SPS, CENTRO DE DÍA, PLAZA PASEO VERDE, EDIFICIOS FLORENCIA</w:t>
      </w:r>
    </w:p>
    <w:p w14:paraId="09C1AED9" w14:textId="77777777" w:rsidR="00695349" w:rsidRPr="00A90E99" w:rsidRDefault="00695349" w:rsidP="004A7BF9">
      <w:pPr>
        <w:pStyle w:val="Prrafodelista"/>
        <w:spacing w:before="120" w:after="120" w:line="360" w:lineRule="auto"/>
        <w:ind w:left="420"/>
        <w:jc w:val="both"/>
        <w:rPr>
          <w:rFonts w:ascii="Arial" w:hAnsi="Arial" w:cs="Arial"/>
          <w:b/>
          <w:bCs/>
          <w:sz w:val="24"/>
          <w:szCs w:val="24"/>
        </w:rPr>
      </w:pPr>
    </w:p>
    <w:p w14:paraId="2BF0034F" w14:textId="54346FFB" w:rsidR="00FD3B64" w:rsidRPr="00A90E99" w:rsidRDefault="00FD3B64" w:rsidP="004A7BF9">
      <w:pPr>
        <w:pStyle w:val="Prrafodelista"/>
        <w:spacing w:before="120" w:after="120" w:line="360" w:lineRule="auto"/>
        <w:ind w:left="420"/>
        <w:jc w:val="both"/>
        <w:rPr>
          <w:rFonts w:ascii="Arial" w:hAnsi="Arial" w:cs="Arial"/>
          <w:sz w:val="24"/>
          <w:szCs w:val="24"/>
        </w:rPr>
      </w:pPr>
      <w:r w:rsidRPr="00A90E99">
        <w:rPr>
          <w:rFonts w:ascii="Arial" w:hAnsi="Arial" w:cs="Arial"/>
          <w:sz w:val="24"/>
          <w:szCs w:val="24"/>
        </w:rPr>
        <w:t xml:space="preserve">Art. 132 del Reglamento de la Ley de contratación del Estado. Defectos u omisiones subsanables. </w:t>
      </w:r>
    </w:p>
    <w:p w14:paraId="31BBBA47" w14:textId="77777777" w:rsidR="00FD3B64" w:rsidRPr="00A90E99" w:rsidRDefault="00FD3B64" w:rsidP="00FD3B64">
      <w:pPr>
        <w:widowControl w:val="0"/>
        <w:jc w:val="both"/>
        <w:rPr>
          <w:rFonts w:ascii="Arial" w:hAnsi="Arial" w:cs="Arial"/>
          <w:bCs/>
          <w:sz w:val="24"/>
          <w:szCs w:val="24"/>
        </w:rPr>
      </w:pPr>
      <w:r w:rsidRPr="00A90E99">
        <w:rPr>
          <w:rFonts w:ascii="Arial" w:hAnsi="Arial" w:cs="Arial"/>
          <w:b/>
          <w:bCs/>
          <w:sz w:val="24"/>
          <w:szCs w:val="24"/>
        </w:rPr>
        <w:t>Documentos no Subsanables</w:t>
      </w:r>
      <w:r w:rsidRPr="00A90E99">
        <w:rPr>
          <w:rFonts w:ascii="Arial" w:hAnsi="Arial" w:cs="Arial"/>
          <w:bCs/>
          <w:sz w:val="24"/>
          <w:szCs w:val="24"/>
        </w:rPr>
        <w:t>:</w:t>
      </w:r>
    </w:p>
    <w:p w14:paraId="09E601B3" w14:textId="77777777" w:rsidR="00FD3B64" w:rsidRPr="00A90E99" w:rsidRDefault="00FD3B64" w:rsidP="00FD3B64">
      <w:pPr>
        <w:jc w:val="both"/>
        <w:rPr>
          <w:rFonts w:ascii="Arial" w:eastAsia="Calibri" w:hAnsi="Arial" w:cs="Arial"/>
          <w:sz w:val="24"/>
          <w:szCs w:val="24"/>
        </w:rPr>
      </w:pPr>
      <w:r w:rsidRPr="00A90E99">
        <w:rPr>
          <w:rFonts w:ascii="Arial" w:eastAsia="Calibri" w:hAnsi="Arial" w:cs="Arial"/>
          <w:sz w:val="24"/>
          <w:szCs w:val="24"/>
        </w:rPr>
        <w:t>No podrán ser subsanados los siguientes documentos:</w:t>
      </w:r>
    </w:p>
    <w:p w14:paraId="57DBE394" w14:textId="5189A861" w:rsidR="00FD3B64" w:rsidRPr="00A90E99" w:rsidRDefault="00EF30B1" w:rsidP="000A40CC">
      <w:pPr>
        <w:numPr>
          <w:ilvl w:val="0"/>
          <w:numId w:val="6"/>
        </w:numPr>
        <w:spacing w:after="0" w:line="240" w:lineRule="auto"/>
        <w:jc w:val="both"/>
        <w:rPr>
          <w:rFonts w:ascii="Arial" w:eastAsia="Calibri" w:hAnsi="Arial" w:cs="Arial"/>
          <w:sz w:val="24"/>
          <w:szCs w:val="24"/>
        </w:rPr>
      </w:pPr>
      <w:r w:rsidRPr="00A90E99">
        <w:rPr>
          <w:rFonts w:ascii="Arial" w:eastAsia="Calibri" w:hAnsi="Arial" w:cs="Arial"/>
          <w:sz w:val="24"/>
          <w:szCs w:val="24"/>
        </w:rPr>
        <w:t>Garantía de Mantenimiento de oferta</w:t>
      </w:r>
      <w:r w:rsidR="00FD3B64" w:rsidRPr="00A90E99">
        <w:rPr>
          <w:rFonts w:ascii="Arial" w:eastAsia="Calibri" w:hAnsi="Arial" w:cs="Arial"/>
          <w:sz w:val="24"/>
          <w:szCs w:val="24"/>
        </w:rPr>
        <w:t xml:space="preserve"> </w:t>
      </w:r>
      <w:r w:rsidR="00E444D6" w:rsidRPr="00A90E99">
        <w:rPr>
          <w:rFonts w:ascii="Arial" w:eastAsia="Calibri" w:hAnsi="Arial" w:cs="Arial"/>
          <w:sz w:val="24"/>
          <w:szCs w:val="24"/>
        </w:rPr>
        <w:t xml:space="preserve">del 2% </w:t>
      </w:r>
      <w:r w:rsidR="00FD3B64" w:rsidRPr="00A90E99">
        <w:rPr>
          <w:rFonts w:ascii="Arial" w:eastAsia="Calibri" w:hAnsi="Arial" w:cs="Arial"/>
          <w:sz w:val="24"/>
          <w:szCs w:val="24"/>
        </w:rPr>
        <w:t>en moneda naciona</w:t>
      </w:r>
      <w:r w:rsidR="000A40CC" w:rsidRPr="00A90E99">
        <w:rPr>
          <w:rFonts w:ascii="Arial" w:eastAsia="Calibri" w:hAnsi="Arial" w:cs="Arial"/>
          <w:sz w:val="24"/>
          <w:szCs w:val="24"/>
        </w:rPr>
        <w:t xml:space="preserve">l con una vigencia mínima de </w:t>
      </w:r>
      <w:r w:rsidR="00B419D8" w:rsidRPr="00A90E99">
        <w:rPr>
          <w:rFonts w:ascii="Arial" w:eastAsia="Calibri" w:hAnsi="Arial" w:cs="Arial"/>
          <w:sz w:val="24"/>
          <w:szCs w:val="24"/>
        </w:rPr>
        <w:t>120</w:t>
      </w:r>
      <w:r w:rsidR="000A40CC" w:rsidRPr="00A90E99">
        <w:rPr>
          <w:rFonts w:ascii="Arial" w:eastAsia="Calibri" w:hAnsi="Arial" w:cs="Arial"/>
          <w:sz w:val="24"/>
          <w:szCs w:val="24"/>
        </w:rPr>
        <w:t xml:space="preserve"> días calendario</w:t>
      </w:r>
      <w:r w:rsidR="009901D4" w:rsidRPr="00A90E99">
        <w:rPr>
          <w:rFonts w:ascii="Arial" w:eastAsia="Calibri" w:hAnsi="Arial" w:cs="Arial"/>
          <w:sz w:val="24"/>
          <w:szCs w:val="24"/>
        </w:rPr>
        <w:t>, a partir de la fecha de apertura de ofertas</w:t>
      </w:r>
      <w:r w:rsidR="000A40CC" w:rsidRPr="00A90E99">
        <w:rPr>
          <w:rFonts w:ascii="Arial" w:eastAsia="Calibri" w:hAnsi="Arial" w:cs="Arial"/>
          <w:sz w:val="24"/>
          <w:szCs w:val="24"/>
        </w:rPr>
        <w:t>.</w:t>
      </w:r>
    </w:p>
    <w:p w14:paraId="6B1B6BD1" w14:textId="249B7BFC" w:rsidR="00877AA8" w:rsidRPr="00A90E99" w:rsidRDefault="00330514" w:rsidP="00877AA8">
      <w:pPr>
        <w:pStyle w:val="Prrafodelista"/>
        <w:tabs>
          <w:tab w:val="left" w:pos="5280"/>
        </w:tabs>
        <w:jc w:val="both"/>
        <w:rPr>
          <w:rFonts w:ascii="Arial" w:hAnsi="Arial" w:cs="Arial"/>
          <w:b/>
          <w:sz w:val="24"/>
          <w:szCs w:val="24"/>
        </w:rPr>
      </w:pPr>
      <w:r w:rsidRPr="00A90E99">
        <w:rPr>
          <w:rFonts w:ascii="Arial" w:hAnsi="Arial" w:cs="Arial"/>
          <w:b/>
          <w:sz w:val="24"/>
          <w:szCs w:val="24"/>
        </w:rPr>
        <w:t>Los Oferentes NO podrán ofrecer garantías o fianzas emitidas por la</w:t>
      </w:r>
      <w:r w:rsidR="00877AA8" w:rsidRPr="00A90E99">
        <w:rPr>
          <w:rFonts w:ascii="Arial" w:hAnsi="Arial" w:cs="Arial"/>
          <w:b/>
          <w:sz w:val="24"/>
          <w:szCs w:val="24"/>
        </w:rPr>
        <w:t>s</w:t>
      </w:r>
      <w:r w:rsidRPr="00A90E99">
        <w:rPr>
          <w:rFonts w:ascii="Arial" w:hAnsi="Arial" w:cs="Arial"/>
          <w:b/>
          <w:sz w:val="24"/>
          <w:szCs w:val="24"/>
        </w:rPr>
        <w:t xml:space="preserve"> Compañía</w:t>
      </w:r>
      <w:r w:rsidR="00877AA8" w:rsidRPr="00A90E99">
        <w:rPr>
          <w:rFonts w:ascii="Arial" w:hAnsi="Arial" w:cs="Arial"/>
          <w:b/>
          <w:sz w:val="24"/>
          <w:szCs w:val="24"/>
        </w:rPr>
        <w:t>s</w:t>
      </w:r>
      <w:r w:rsidRPr="00A90E99">
        <w:rPr>
          <w:rFonts w:ascii="Arial" w:hAnsi="Arial" w:cs="Arial"/>
          <w:b/>
          <w:sz w:val="24"/>
          <w:szCs w:val="24"/>
        </w:rPr>
        <w:t xml:space="preserve"> </w:t>
      </w:r>
      <w:r w:rsidR="002248E2" w:rsidRPr="00A90E99">
        <w:rPr>
          <w:rFonts w:ascii="Arial" w:hAnsi="Arial" w:cs="Arial"/>
          <w:b/>
          <w:sz w:val="24"/>
          <w:szCs w:val="24"/>
        </w:rPr>
        <w:t>Aseguradoras.</w:t>
      </w:r>
    </w:p>
    <w:p w14:paraId="49F41B16" w14:textId="77777777" w:rsidR="002248E2" w:rsidRPr="00A90E99" w:rsidRDefault="002248E2" w:rsidP="00877AA8">
      <w:pPr>
        <w:pStyle w:val="Prrafodelista"/>
        <w:tabs>
          <w:tab w:val="left" w:pos="5280"/>
        </w:tabs>
        <w:jc w:val="both"/>
        <w:rPr>
          <w:rFonts w:ascii="Arial" w:hAnsi="Arial" w:cs="Arial"/>
          <w:b/>
          <w:sz w:val="24"/>
          <w:szCs w:val="24"/>
        </w:rPr>
      </w:pPr>
    </w:p>
    <w:p w14:paraId="58F5D40C" w14:textId="3666DF1E" w:rsidR="00FD3B64" w:rsidRPr="00A90E99" w:rsidRDefault="00E10D0A" w:rsidP="002248E2">
      <w:pPr>
        <w:pStyle w:val="Prrafodelista"/>
        <w:numPr>
          <w:ilvl w:val="0"/>
          <w:numId w:val="6"/>
        </w:numPr>
        <w:tabs>
          <w:tab w:val="left" w:pos="5280"/>
        </w:tabs>
        <w:jc w:val="both"/>
        <w:rPr>
          <w:rFonts w:ascii="Arial" w:hAnsi="Arial" w:cs="Arial"/>
          <w:sz w:val="24"/>
          <w:szCs w:val="24"/>
        </w:rPr>
      </w:pPr>
      <w:r w:rsidRPr="00A90E99">
        <w:rPr>
          <w:rFonts w:ascii="Arial" w:hAnsi="Arial" w:cs="Arial"/>
          <w:sz w:val="24"/>
          <w:szCs w:val="24"/>
        </w:rPr>
        <w:t xml:space="preserve">Carta </w:t>
      </w:r>
      <w:r w:rsidR="00DA342F" w:rsidRPr="00A90E99">
        <w:rPr>
          <w:rFonts w:ascii="Arial" w:hAnsi="Arial" w:cs="Arial"/>
          <w:sz w:val="24"/>
          <w:szCs w:val="24"/>
        </w:rPr>
        <w:t xml:space="preserve">propuesta firmada </w:t>
      </w:r>
      <w:r w:rsidR="00F11B77" w:rsidRPr="00A90E99">
        <w:rPr>
          <w:rFonts w:ascii="Arial" w:hAnsi="Arial" w:cs="Arial"/>
          <w:sz w:val="24"/>
          <w:szCs w:val="24"/>
        </w:rPr>
        <w:t xml:space="preserve">y </w:t>
      </w:r>
      <w:r w:rsidR="00FD3B64" w:rsidRPr="00A90E99">
        <w:rPr>
          <w:rFonts w:ascii="Arial" w:hAnsi="Arial" w:cs="Arial"/>
          <w:sz w:val="24"/>
          <w:szCs w:val="24"/>
        </w:rPr>
        <w:t>se</w:t>
      </w:r>
      <w:r w:rsidR="003F6041" w:rsidRPr="00A90E99">
        <w:rPr>
          <w:rFonts w:ascii="Arial" w:hAnsi="Arial" w:cs="Arial"/>
          <w:sz w:val="24"/>
          <w:szCs w:val="24"/>
        </w:rPr>
        <w:t xml:space="preserve">llada </w:t>
      </w:r>
      <w:r w:rsidR="009B3E91" w:rsidRPr="00A90E99">
        <w:rPr>
          <w:rFonts w:ascii="Arial" w:hAnsi="Arial" w:cs="Arial"/>
          <w:sz w:val="24"/>
          <w:szCs w:val="24"/>
        </w:rPr>
        <w:t xml:space="preserve">por </w:t>
      </w:r>
      <w:r w:rsidR="00D60B03" w:rsidRPr="00A90E99">
        <w:rPr>
          <w:rFonts w:ascii="Arial" w:hAnsi="Arial" w:cs="Arial"/>
          <w:sz w:val="24"/>
          <w:szCs w:val="24"/>
        </w:rPr>
        <w:t xml:space="preserve">el </w:t>
      </w:r>
      <w:r w:rsidR="008A7099" w:rsidRPr="00A90E99">
        <w:rPr>
          <w:rFonts w:ascii="Arial" w:hAnsi="Arial" w:cs="Arial"/>
          <w:sz w:val="24"/>
          <w:szCs w:val="24"/>
        </w:rPr>
        <w:t xml:space="preserve">oferente </w:t>
      </w:r>
      <w:r w:rsidR="00E62A56" w:rsidRPr="00A90E99">
        <w:rPr>
          <w:rFonts w:ascii="Arial" w:hAnsi="Arial" w:cs="Arial"/>
          <w:sz w:val="24"/>
          <w:szCs w:val="24"/>
        </w:rPr>
        <w:t>conte</w:t>
      </w:r>
      <w:r w:rsidR="00FD3B64" w:rsidRPr="00A90E99">
        <w:rPr>
          <w:rFonts w:ascii="Arial" w:hAnsi="Arial" w:cs="Arial"/>
          <w:sz w:val="24"/>
          <w:szCs w:val="24"/>
        </w:rPr>
        <w:t>niendo la    información solicitada y cualquier documento referente a precios ofertados.</w:t>
      </w:r>
    </w:p>
    <w:p w14:paraId="69D4C552" w14:textId="4055DF36" w:rsidR="00E10D0A" w:rsidRPr="00A90E99" w:rsidRDefault="00E10D0A" w:rsidP="00FD3B64">
      <w:pPr>
        <w:numPr>
          <w:ilvl w:val="0"/>
          <w:numId w:val="6"/>
        </w:numPr>
        <w:spacing w:after="0" w:line="240" w:lineRule="auto"/>
        <w:jc w:val="both"/>
        <w:rPr>
          <w:rFonts w:ascii="Arial" w:eastAsia="Calibri" w:hAnsi="Arial" w:cs="Arial"/>
          <w:b/>
          <w:sz w:val="24"/>
          <w:szCs w:val="24"/>
        </w:rPr>
      </w:pPr>
      <w:r w:rsidRPr="00A90E99">
        <w:rPr>
          <w:rFonts w:ascii="Arial" w:eastAsia="Calibri" w:hAnsi="Arial" w:cs="Arial"/>
          <w:b/>
          <w:sz w:val="24"/>
          <w:szCs w:val="24"/>
        </w:rPr>
        <w:t>Formulario Conozca a su proveedor</w:t>
      </w:r>
      <w:r w:rsidR="002B1AD3" w:rsidRPr="00A90E99">
        <w:rPr>
          <w:rFonts w:ascii="Arial" w:eastAsia="Calibri" w:hAnsi="Arial" w:cs="Arial"/>
          <w:b/>
          <w:sz w:val="24"/>
          <w:szCs w:val="24"/>
        </w:rPr>
        <w:t xml:space="preserve"> debidamente firmado y sellado</w:t>
      </w:r>
      <w:r w:rsidRPr="00A90E99">
        <w:rPr>
          <w:rFonts w:ascii="Arial" w:eastAsia="Calibri" w:hAnsi="Arial" w:cs="Arial"/>
          <w:b/>
          <w:sz w:val="24"/>
          <w:szCs w:val="24"/>
        </w:rPr>
        <w:t xml:space="preserve">, la no presentación </w:t>
      </w:r>
      <w:proofErr w:type="gramStart"/>
      <w:r w:rsidRPr="00A90E99">
        <w:rPr>
          <w:rFonts w:ascii="Arial" w:eastAsia="Calibri" w:hAnsi="Arial" w:cs="Arial"/>
          <w:b/>
          <w:sz w:val="24"/>
          <w:szCs w:val="24"/>
        </w:rPr>
        <w:t>del mismo</w:t>
      </w:r>
      <w:proofErr w:type="gramEnd"/>
      <w:r w:rsidRPr="00A90E99">
        <w:rPr>
          <w:rFonts w:ascii="Arial" w:eastAsia="Calibri" w:hAnsi="Arial" w:cs="Arial"/>
          <w:b/>
          <w:sz w:val="24"/>
          <w:szCs w:val="24"/>
        </w:rPr>
        <w:t xml:space="preserve"> indica que la oferta no podrá seguir siendo evaluada. </w:t>
      </w:r>
    </w:p>
    <w:p w14:paraId="22A2C963" w14:textId="12825BD2" w:rsidR="00FD3B64" w:rsidRPr="00A90E99" w:rsidRDefault="00FD3B64" w:rsidP="00FD3B64">
      <w:pPr>
        <w:numPr>
          <w:ilvl w:val="0"/>
          <w:numId w:val="6"/>
        </w:numPr>
        <w:spacing w:after="0" w:line="240" w:lineRule="auto"/>
        <w:jc w:val="both"/>
        <w:rPr>
          <w:rFonts w:ascii="Arial" w:eastAsia="Calibri" w:hAnsi="Arial" w:cs="Arial"/>
          <w:sz w:val="24"/>
          <w:szCs w:val="24"/>
        </w:rPr>
      </w:pPr>
      <w:r w:rsidRPr="00A90E99">
        <w:rPr>
          <w:rFonts w:ascii="Arial" w:eastAsia="Calibri" w:hAnsi="Arial" w:cs="Arial"/>
          <w:sz w:val="24"/>
          <w:szCs w:val="24"/>
        </w:rPr>
        <w:t>Cualquier otro que señale la Ley de Contratación del Estado, su Reglamento y el pliego de Condiciones.</w:t>
      </w:r>
    </w:p>
    <w:p w14:paraId="5A149256" w14:textId="77777777" w:rsidR="000B1BFF" w:rsidRPr="00A90E99" w:rsidRDefault="000B1BFF" w:rsidP="00FD3B64">
      <w:pPr>
        <w:pStyle w:val="Prrafodelista"/>
        <w:spacing w:before="120" w:after="120" w:line="360" w:lineRule="auto"/>
        <w:ind w:left="420"/>
        <w:jc w:val="both"/>
        <w:rPr>
          <w:rFonts w:ascii="Arial" w:hAnsi="Arial" w:cs="Arial"/>
          <w:sz w:val="24"/>
          <w:szCs w:val="24"/>
        </w:rPr>
      </w:pPr>
    </w:p>
    <w:p w14:paraId="623ECFFF" w14:textId="77777777" w:rsidR="00FD3B64" w:rsidRPr="00A90E99" w:rsidRDefault="00FD3B64" w:rsidP="00FD3B64">
      <w:pPr>
        <w:pStyle w:val="Prrafodelista"/>
        <w:spacing w:before="120" w:after="120" w:line="360" w:lineRule="auto"/>
        <w:ind w:left="420"/>
        <w:jc w:val="both"/>
        <w:rPr>
          <w:rFonts w:ascii="Arial" w:hAnsi="Arial" w:cs="Arial"/>
          <w:sz w:val="24"/>
          <w:szCs w:val="24"/>
        </w:rPr>
      </w:pPr>
      <w:r w:rsidRPr="00A90E99">
        <w:rPr>
          <w:rFonts w:ascii="Arial" w:hAnsi="Arial" w:cs="Arial"/>
          <w:sz w:val="24"/>
          <w:szCs w:val="24"/>
        </w:rPr>
        <w:t xml:space="preserve">Se subsanarán los defectos u omisiones de conformidad a lo establecido en los Artículos 5 párrafo segundo, 50 de la </w:t>
      </w:r>
      <w:r w:rsidR="00DA342F" w:rsidRPr="00A90E99">
        <w:rPr>
          <w:rFonts w:ascii="Arial" w:hAnsi="Arial" w:cs="Arial"/>
          <w:sz w:val="24"/>
          <w:szCs w:val="24"/>
        </w:rPr>
        <w:t xml:space="preserve">Ley de Contratación del Estado </w:t>
      </w:r>
      <w:r w:rsidRPr="00A90E99">
        <w:rPr>
          <w:rFonts w:ascii="Arial" w:hAnsi="Arial" w:cs="Arial"/>
          <w:sz w:val="24"/>
          <w:szCs w:val="24"/>
        </w:rPr>
        <w:t>y 132 del Reglamento. La subsanación es</w:t>
      </w:r>
      <w:r w:rsidR="00A47D16" w:rsidRPr="00A90E99">
        <w:rPr>
          <w:rFonts w:ascii="Arial" w:hAnsi="Arial" w:cs="Arial"/>
          <w:sz w:val="24"/>
          <w:szCs w:val="24"/>
        </w:rPr>
        <w:t xml:space="preserve"> posible durante los cinco (5) </w:t>
      </w:r>
      <w:r w:rsidRPr="00A90E99">
        <w:rPr>
          <w:rFonts w:ascii="Arial" w:hAnsi="Arial" w:cs="Arial"/>
          <w:sz w:val="24"/>
          <w:szCs w:val="24"/>
        </w:rPr>
        <w:t>días hábiles siguientes a la notificación, correspondiente de la omisión; sino lo hiciera la oferta no será considerada.</w:t>
      </w:r>
    </w:p>
    <w:p w14:paraId="1EBE52EA" w14:textId="77777777" w:rsidR="00FD3B64" w:rsidRPr="00A90E99" w:rsidRDefault="00FD3B64" w:rsidP="00FD3B64">
      <w:pPr>
        <w:pStyle w:val="Prrafodelista"/>
        <w:spacing w:before="120" w:after="120" w:line="360" w:lineRule="auto"/>
        <w:ind w:left="420"/>
        <w:jc w:val="both"/>
        <w:rPr>
          <w:rFonts w:ascii="Arial" w:hAnsi="Arial" w:cs="Arial"/>
          <w:sz w:val="24"/>
          <w:szCs w:val="24"/>
        </w:rPr>
      </w:pPr>
    </w:p>
    <w:p w14:paraId="067F965B" w14:textId="77777777" w:rsidR="007D64EE" w:rsidRPr="00A90E99" w:rsidRDefault="007D64EE" w:rsidP="007D64EE">
      <w:pPr>
        <w:pStyle w:val="Prrafodelista"/>
        <w:numPr>
          <w:ilvl w:val="1"/>
          <w:numId w:val="5"/>
        </w:numPr>
        <w:spacing w:before="120" w:after="120" w:line="360" w:lineRule="auto"/>
        <w:jc w:val="both"/>
        <w:rPr>
          <w:rFonts w:ascii="Arial" w:hAnsi="Arial" w:cs="Arial"/>
          <w:sz w:val="24"/>
          <w:szCs w:val="24"/>
        </w:rPr>
      </w:pPr>
      <w:r w:rsidRPr="00A90E99">
        <w:rPr>
          <w:rFonts w:ascii="Arial" w:hAnsi="Arial" w:cs="Arial"/>
          <w:sz w:val="24"/>
          <w:szCs w:val="24"/>
        </w:rPr>
        <w:t xml:space="preserve"> Método de Evaluación </w:t>
      </w:r>
    </w:p>
    <w:p w14:paraId="67B7CF23" w14:textId="77777777" w:rsidR="007D64EE" w:rsidRPr="00A90E99" w:rsidRDefault="007D64EE" w:rsidP="007D64EE">
      <w:pPr>
        <w:spacing w:before="120" w:after="120"/>
        <w:jc w:val="both"/>
        <w:rPr>
          <w:rFonts w:ascii="Arial" w:eastAsia="Calibri" w:hAnsi="Arial" w:cs="Arial"/>
          <w:sz w:val="24"/>
          <w:szCs w:val="24"/>
        </w:rPr>
      </w:pPr>
      <w:r w:rsidRPr="00A90E99">
        <w:rPr>
          <w:rFonts w:ascii="Arial" w:eastAsia="Calibri" w:hAnsi="Arial" w:cs="Arial"/>
          <w:sz w:val="24"/>
          <w:szCs w:val="24"/>
        </w:rPr>
        <w:t>El método de evaluación será por CUMPLE o NO CUMPLE y/o Porcentajes</w:t>
      </w:r>
    </w:p>
    <w:p w14:paraId="119266C2" w14:textId="77777777" w:rsidR="007D64EE" w:rsidRPr="00A90E99" w:rsidRDefault="007D64EE" w:rsidP="007D64EE">
      <w:pPr>
        <w:spacing w:before="120" w:after="120"/>
        <w:jc w:val="both"/>
        <w:rPr>
          <w:rFonts w:ascii="Arial" w:eastAsia="Calibri" w:hAnsi="Arial" w:cs="Arial"/>
          <w:sz w:val="24"/>
          <w:szCs w:val="24"/>
        </w:rPr>
      </w:pPr>
      <w:r w:rsidRPr="00A90E99">
        <w:rPr>
          <w:rFonts w:ascii="Arial" w:eastAsia="Calibri" w:hAnsi="Arial" w:cs="Arial"/>
          <w:sz w:val="24"/>
          <w:szCs w:val="24"/>
        </w:rPr>
        <w:t xml:space="preserve">La evaluación de las ofertas técnica, legal y económica y la </w:t>
      </w:r>
      <w:r w:rsidR="009901D4" w:rsidRPr="00A90E99">
        <w:rPr>
          <w:rFonts w:ascii="Arial" w:eastAsia="Calibri" w:hAnsi="Arial" w:cs="Arial"/>
          <w:sz w:val="24"/>
          <w:szCs w:val="24"/>
        </w:rPr>
        <w:t xml:space="preserve">posterior </w:t>
      </w:r>
      <w:r w:rsidRPr="00A90E99">
        <w:rPr>
          <w:rFonts w:ascii="Arial" w:eastAsia="Calibri" w:hAnsi="Arial" w:cs="Arial"/>
          <w:sz w:val="24"/>
          <w:szCs w:val="24"/>
        </w:rPr>
        <w:t>adjudicación del contrato se hará al licitante que reúna las condiciones requeridas por el Instituto de Previsión Militar y garantice satisfactoriamente el cumplimiento de las obligaciones respectivas.</w:t>
      </w:r>
    </w:p>
    <w:p w14:paraId="387CC950" w14:textId="77777777" w:rsidR="007D64EE" w:rsidRPr="00A90E99" w:rsidRDefault="007D64EE" w:rsidP="007D64EE">
      <w:pPr>
        <w:tabs>
          <w:tab w:val="center" w:pos="2977"/>
          <w:tab w:val="center" w:pos="3544"/>
        </w:tabs>
        <w:ind w:left="2127"/>
        <w:jc w:val="both"/>
        <w:rPr>
          <w:rFonts w:ascii="Arial" w:eastAsia="Calibri" w:hAnsi="Arial" w:cs="Arial"/>
          <w:sz w:val="24"/>
          <w:szCs w:val="24"/>
        </w:rPr>
      </w:pPr>
    </w:p>
    <w:p w14:paraId="2643DBAE" w14:textId="77777777" w:rsidR="007D64EE" w:rsidRPr="00A90E99" w:rsidRDefault="007D64EE" w:rsidP="007D64EE">
      <w:pPr>
        <w:numPr>
          <w:ilvl w:val="0"/>
          <w:numId w:val="7"/>
        </w:numPr>
        <w:spacing w:after="0" w:line="240" w:lineRule="auto"/>
        <w:jc w:val="both"/>
        <w:rPr>
          <w:rFonts w:ascii="Arial" w:eastAsia="Calibri" w:hAnsi="Arial" w:cs="Arial"/>
          <w:sz w:val="24"/>
          <w:szCs w:val="24"/>
        </w:rPr>
      </w:pPr>
      <w:r w:rsidRPr="00A90E99">
        <w:rPr>
          <w:rFonts w:ascii="Arial" w:eastAsia="Calibri" w:hAnsi="Arial" w:cs="Arial"/>
          <w:sz w:val="24"/>
          <w:szCs w:val="24"/>
        </w:rPr>
        <w:t>Para la evaluación de las ofertas el Comité de Compras y Licitaciones del Instituto de Previsión Militar, formará una o varias Comisiones Técnicas Evaluadoras, en la primera etapa, El Comité de Compras y Licitaciones dará traslado simultáneo a: 1) Asesoría Legal para que emita el dictamen respectivo referente a la documentación legal obligatoria; 2) La  Comisión Técnica  para emitir el dictamen respectivo referente a la oferta técnica y 3) División de Control Financiero para que se pronuncie sobre el monto o valor de la oferta. El término para realizar estos dictámenes será de dos (2) semanas. En una segunda etapa, El Comité de Compras y Licitaciones nombrará la Comisión Evaluadora quien analizará y evaluará las ofertas (Art. 33 de la Ley de Contratación del Estado, y Art. 126 del Reglamento de la Ley de Contratación del Estado), considerando únicamente a las que no hubieren sido descalificadas o rechazadas en la primera etapa, debiendo en el proceso de análisis entre otros, los siguientes parámetros:</w:t>
      </w:r>
    </w:p>
    <w:p w14:paraId="144F5EFB" w14:textId="77777777" w:rsidR="007D64EE" w:rsidRPr="00A90E99" w:rsidRDefault="007D64EE" w:rsidP="007D64EE">
      <w:pPr>
        <w:numPr>
          <w:ilvl w:val="0"/>
          <w:numId w:val="9"/>
        </w:numPr>
        <w:spacing w:after="0" w:line="240" w:lineRule="auto"/>
        <w:jc w:val="both"/>
        <w:rPr>
          <w:rFonts w:ascii="Arial" w:eastAsia="Calibri" w:hAnsi="Arial" w:cs="Arial"/>
          <w:sz w:val="24"/>
          <w:szCs w:val="24"/>
        </w:rPr>
      </w:pPr>
      <w:r w:rsidRPr="00A90E99">
        <w:rPr>
          <w:rFonts w:ascii="Arial" w:eastAsia="Calibri" w:hAnsi="Arial" w:cs="Arial"/>
          <w:sz w:val="24"/>
          <w:szCs w:val="24"/>
        </w:rPr>
        <w:t xml:space="preserve">Precio ofertado. Si hubiere discrepancia entre precios expresados en letras y en cifras, se considerará, los expresados en letras. </w:t>
      </w:r>
    </w:p>
    <w:p w14:paraId="43FB8293" w14:textId="77777777" w:rsidR="007D64EE" w:rsidRPr="00A90E99" w:rsidRDefault="007D64EE" w:rsidP="007D64EE">
      <w:pPr>
        <w:numPr>
          <w:ilvl w:val="0"/>
          <w:numId w:val="9"/>
        </w:numPr>
        <w:spacing w:after="0" w:line="240" w:lineRule="auto"/>
        <w:jc w:val="both"/>
        <w:rPr>
          <w:rFonts w:ascii="Arial" w:eastAsia="Calibri" w:hAnsi="Arial" w:cs="Arial"/>
          <w:sz w:val="24"/>
          <w:szCs w:val="24"/>
        </w:rPr>
      </w:pPr>
      <w:r w:rsidRPr="00A90E99">
        <w:rPr>
          <w:rFonts w:ascii="Arial" w:eastAsia="Calibri" w:hAnsi="Arial" w:cs="Arial"/>
          <w:sz w:val="24"/>
          <w:szCs w:val="24"/>
        </w:rPr>
        <w:t>Cumplimiento de las especificaciones técnicas, económicas y legales de la oferta.</w:t>
      </w:r>
    </w:p>
    <w:p w14:paraId="22CD0E81" w14:textId="77777777" w:rsidR="007D64EE" w:rsidRPr="00A90E99" w:rsidRDefault="007D64EE" w:rsidP="007D64EE">
      <w:pPr>
        <w:numPr>
          <w:ilvl w:val="0"/>
          <w:numId w:val="9"/>
        </w:numPr>
        <w:spacing w:after="0" w:line="240" w:lineRule="auto"/>
        <w:jc w:val="both"/>
        <w:rPr>
          <w:rFonts w:ascii="Arial" w:eastAsia="Calibri" w:hAnsi="Arial" w:cs="Arial"/>
          <w:sz w:val="24"/>
          <w:szCs w:val="24"/>
        </w:rPr>
      </w:pPr>
      <w:r w:rsidRPr="00A90E99">
        <w:rPr>
          <w:rFonts w:ascii="Arial" w:eastAsia="Calibri" w:hAnsi="Arial" w:cs="Arial"/>
          <w:sz w:val="24"/>
          <w:szCs w:val="24"/>
        </w:rPr>
        <w:t>Lo contemplado en el Art. 136 del Reglamento de la Ley de Contratación del Estado y demás aplicables.</w:t>
      </w:r>
    </w:p>
    <w:p w14:paraId="2FB2412F" w14:textId="77777777" w:rsidR="007D64EE" w:rsidRPr="00A90E99" w:rsidRDefault="007D64EE" w:rsidP="007D64EE">
      <w:pPr>
        <w:jc w:val="both"/>
        <w:rPr>
          <w:rFonts w:ascii="Arial" w:eastAsia="Calibri" w:hAnsi="Arial" w:cs="Arial"/>
          <w:sz w:val="24"/>
          <w:szCs w:val="24"/>
        </w:rPr>
      </w:pPr>
    </w:p>
    <w:p w14:paraId="647B6524" w14:textId="77777777" w:rsidR="007D64EE" w:rsidRPr="00A90E99" w:rsidRDefault="007D64EE" w:rsidP="007D64EE">
      <w:pPr>
        <w:numPr>
          <w:ilvl w:val="0"/>
          <w:numId w:val="7"/>
        </w:numPr>
        <w:spacing w:after="0" w:line="240" w:lineRule="auto"/>
        <w:jc w:val="both"/>
        <w:rPr>
          <w:rFonts w:ascii="Arial" w:eastAsia="Calibri" w:hAnsi="Arial" w:cs="Arial"/>
          <w:sz w:val="24"/>
          <w:szCs w:val="24"/>
        </w:rPr>
      </w:pPr>
      <w:r w:rsidRPr="00A90E99">
        <w:rPr>
          <w:rFonts w:ascii="Arial" w:eastAsia="Calibri" w:hAnsi="Arial" w:cs="Arial"/>
          <w:sz w:val="24"/>
          <w:szCs w:val="24"/>
        </w:rPr>
        <w:t>Hasta tanto no se realice la adjudicación de la licitación, se entenderá que todas las actuaciones de las comisiones evaluadoras tendrán carácter confidencial, por lo tanto, los miembros de estas Comisiones no podrán dar información alguna relacionada con el proceso. Por consiguiente, a partir de la apertura de las ofertas y hasta el momento que se notifique oficialmente la adjudicación, ningún oferente se comunicará con ningún miembro de las comisiones evaluadoras o del Comité de Licitaciones del Instituto de Previsión Militar, para tratar aspectos relacionados con su oferta o la de otros licitantes, salvo que se le solicite por escrito como aclaración en los términos permitidos por la Ley de Contratación del Estado y su Reglamento.</w:t>
      </w:r>
    </w:p>
    <w:p w14:paraId="6CE3F157" w14:textId="77777777" w:rsidR="00E444D6" w:rsidRPr="00A90E99" w:rsidRDefault="00E444D6" w:rsidP="00E444D6">
      <w:pPr>
        <w:spacing w:after="0" w:line="240" w:lineRule="auto"/>
        <w:ind w:left="720"/>
        <w:jc w:val="both"/>
        <w:rPr>
          <w:rFonts w:ascii="Arial" w:eastAsia="Calibri" w:hAnsi="Arial" w:cs="Arial"/>
          <w:sz w:val="24"/>
          <w:szCs w:val="24"/>
        </w:rPr>
      </w:pPr>
    </w:p>
    <w:p w14:paraId="7FAE7995" w14:textId="77777777" w:rsidR="007D64EE" w:rsidRPr="00A90E99" w:rsidRDefault="007D64EE" w:rsidP="007D64EE">
      <w:pPr>
        <w:numPr>
          <w:ilvl w:val="0"/>
          <w:numId w:val="7"/>
        </w:numPr>
        <w:spacing w:after="0" w:line="240" w:lineRule="auto"/>
        <w:jc w:val="both"/>
        <w:rPr>
          <w:rFonts w:ascii="Arial" w:eastAsia="Calibri" w:hAnsi="Arial" w:cs="Arial"/>
          <w:sz w:val="24"/>
          <w:szCs w:val="24"/>
        </w:rPr>
      </w:pPr>
      <w:r w:rsidRPr="00A90E99">
        <w:rPr>
          <w:rFonts w:ascii="Arial" w:eastAsia="Calibri" w:hAnsi="Arial" w:cs="Arial"/>
          <w:sz w:val="24"/>
          <w:szCs w:val="24"/>
        </w:rPr>
        <w:t xml:space="preserve">La Comisión Evaluadora podrá pedir aclaraciones por escrito a cualquier proponente sobre aspectos de su oferta, sin modificar los aspectos </w:t>
      </w:r>
      <w:r w:rsidRPr="00A90E99">
        <w:rPr>
          <w:rFonts w:ascii="Arial" w:eastAsia="Calibri" w:hAnsi="Arial" w:cs="Arial"/>
          <w:sz w:val="24"/>
          <w:szCs w:val="24"/>
        </w:rPr>
        <w:lastRenderedPageBreak/>
        <w:t>sustanciales (designación de oferentes, precio ofrecido, plazo de validez de la oferta, plazo de entrega, garantía de mantenimiento, incluyendo su monto y tipo de ofertas totales o parciales y alternativas) o violentar el principio de igualdad de trato a los oferentes. Las respuestas deberán ser presentadas por escrito y serán agregadas al expediente.</w:t>
      </w:r>
    </w:p>
    <w:p w14:paraId="637B4762" w14:textId="77777777" w:rsidR="007D64EE" w:rsidRPr="00A90E99" w:rsidRDefault="007D64EE" w:rsidP="007D64EE">
      <w:pPr>
        <w:ind w:left="3261" w:hanging="1134"/>
        <w:jc w:val="both"/>
        <w:rPr>
          <w:rFonts w:ascii="Arial" w:eastAsia="Calibri" w:hAnsi="Arial" w:cs="Arial"/>
          <w:sz w:val="24"/>
          <w:szCs w:val="24"/>
        </w:rPr>
      </w:pPr>
    </w:p>
    <w:p w14:paraId="0B6E56FE" w14:textId="77777777" w:rsidR="007D64EE" w:rsidRPr="00A90E99" w:rsidRDefault="007D64EE" w:rsidP="007D64EE">
      <w:pPr>
        <w:numPr>
          <w:ilvl w:val="0"/>
          <w:numId w:val="7"/>
        </w:numPr>
        <w:spacing w:after="0" w:line="240" w:lineRule="auto"/>
        <w:jc w:val="both"/>
        <w:rPr>
          <w:rFonts w:ascii="Arial" w:eastAsia="Calibri" w:hAnsi="Arial" w:cs="Arial"/>
          <w:sz w:val="24"/>
          <w:szCs w:val="24"/>
        </w:rPr>
      </w:pPr>
      <w:r w:rsidRPr="00A90E99">
        <w:rPr>
          <w:rFonts w:ascii="Arial" w:eastAsia="Calibri" w:hAnsi="Arial" w:cs="Arial"/>
          <w:sz w:val="24"/>
          <w:szCs w:val="24"/>
        </w:rPr>
        <w:t>La Comisión Técnica Evaluadora tendrá el derecho de ser necesario, a revisar las ofertas presentadas de los servicios ofrecidos, a fin de verificar que cumplan con las especificaciones solicitadas. El oferente deberá proporcionar a los inspectores de la Comisión Evaluadora, todas las facilidades y asistencia razonable, incluso acceso a la información y otros datos sin cargo alguno para el Instituto de Previsión Militar.</w:t>
      </w:r>
    </w:p>
    <w:p w14:paraId="230C0054" w14:textId="77777777" w:rsidR="007D64EE" w:rsidRPr="00A90E99" w:rsidRDefault="007D64EE" w:rsidP="007D64EE">
      <w:pPr>
        <w:jc w:val="both"/>
        <w:rPr>
          <w:rFonts w:ascii="Arial" w:eastAsia="Calibri" w:hAnsi="Arial" w:cs="Arial"/>
          <w:sz w:val="24"/>
          <w:szCs w:val="24"/>
        </w:rPr>
      </w:pPr>
    </w:p>
    <w:p w14:paraId="1E7556E2" w14:textId="77777777" w:rsidR="007D64EE" w:rsidRPr="00A90E99" w:rsidRDefault="007D64EE" w:rsidP="007D64EE">
      <w:pPr>
        <w:numPr>
          <w:ilvl w:val="0"/>
          <w:numId w:val="7"/>
        </w:numPr>
        <w:spacing w:after="0" w:line="240" w:lineRule="auto"/>
        <w:jc w:val="both"/>
        <w:rPr>
          <w:rFonts w:ascii="Arial" w:eastAsia="Calibri" w:hAnsi="Arial" w:cs="Arial"/>
          <w:sz w:val="24"/>
          <w:szCs w:val="24"/>
        </w:rPr>
      </w:pPr>
      <w:r w:rsidRPr="00A90E99">
        <w:rPr>
          <w:rFonts w:ascii="Arial" w:eastAsia="Calibri" w:hAnsi="Arial" w:cs="Arial"/>
          <w:sz w:val="24"/>
          <w:szCs w:val="24"/>
        </w:rPr>
        <w:t>El resultado de la evaluación técnica será presentado en un dictamen en el cual se hará constar el análisis y evaluación técnica de las ofertas, con las recomendaciones pertinentes.</w:t>
      </w:r>
    </w:p>
    <w:p w14:paraId="1692D0B4" w14:textId="77777777" w:rsidR="007D64EE" w:rsidRPr="00A90E99" w:rsidRDefault="007D64EE" w:rsidP="007D64EE">
      <w:pPr>
        <w:jc w:val="both"/>
        <w:rPr>
          <w:rFonts w:ascii="Arial" w:eastAsia="Calibri" w:hAnsi="Arial" w:cs="Arial"/>
          <w:sz w:val="24"/>
          <w:szCs w:val="24"/>
        </w:rPr>
      </w:pPr>
    </w:p>
    <w:p w14:paraId="195D5080" w14:textId="77777777" w:rsidR="007D64EE" w:rsidRPr="00A90E99" w:rsidRDefault="007D64EE" w:rsidP="007D64EE">
      <w:pPr>
        <w:numPr>
          <w:ilvl w:val="0"/>
          <w:numId w:val="7"/>
        </w:numPr>
        <w:spacing w:after="0" w:line="240" w:lineRule="auto"/>
        <w:jc w:val="both"/>
        <w:rPr>
          <w:rFonts w:ascii="Arial" w:eastAsia="Calibri" w:hAnsi="Arial" w:cs="Arial"/>
          <w:sz w:val="24"/>
          <w:szCs w:val="24"/>
        </w:rPr>
      </w:pPr>
      <w:r w:rsidRPr="00A90E99">
        <w:rPr>
          <w:rFonts w:ascii="Arial" w:eastAsia="Calibri" w:hAnsi="Arial" w:cs="Arial"/>
          <w:sz w:val="24"/>
          <w:szCs w:val="24"/>
        </w:rPr>
        <w:t>En el sistema de evaluación de las ofertas se utilizará mecanismos de puntos o porcentaje y/o en términos de cumple o no cumple tanto con la documentación obligatoria, con las especificaciones técnicas y que oferte el precio más bajo, sin perjuicio de lo</w:t>
      </w:r>
      <w:r w:rsidR="009901D4" w:rsidRPr="00A90E99">
        <w:rPr>
          <w:rFonts w:ascii="Arial" w:eastAsia="Calibri" w:hAnsi="Arial" w:cs="Arial"/>
          <w:sz w:val="24"/>
          <w:szCs w:val="24"/>
        </w:rPr>
        <w:t>s</w:t>
      </w:r>
      <w:r w:rsidRPr="00A90E99">
        <w:rPr>
          <w:rFonts w:ascii="Arial" w:eastAsia="Calibri" w:hAnsi="Arial" w:cs="Arial"/>
          <w:sz w:val="24"/>
          <w:szCs w:val="24"/>
        </w:rPr>
        <w:t xml:space="preserve"> </w:t>
      </w:r>
      <w:r w:rsidR="009901D4" w:rsidRPr="00A90E99">
        <w:rPr>
          <w:rFonts w:ascii="Arial" w:eastAsia="Calibri" w:hAnsi="Arial" w:cs="Arial"/>
          <w:sz w:val="24"/>
          <w:szCs w:val="24"/>
        </w:rPr>
        <w:t>criterios, objetivos de evaluación y motivaciones del IPM</w:t>
      </w:r>
      <w:r w:rsidR="00EF30B1" w:rsidRPr="00A90E99">
        <w:rPr>
          <w:rFonts w:ascii="Arial" w:eastAsia="Calibri" w:hAnsi="Arial" w:cs="Arial"/>
          <w:sz w:val="24"/>
          <w:szCs w:val="24"/>
        </w:rPr>
        <w:t xml:space="preserve"> </w:t>
      </w:r>
      <w:r w:rsidR="009901D4" w:rsidRPr="00A90E99">
        <w:rPr>
          <w:rFonts w:ascii="Arial" w:eastAsia="Calibri" w:hAnsi="Arial" w:cs="Arial"/>
          <w:sz w:val="24"/>
          <w:szCs w:val="24"/>
        </w:rPr>
        <w:t>(</w:t>
      </w:r>
      <w:r w:rsidRPr="00A90E99">
        <w:rPr>
          <w:rFonts w:ascii="Arial" w:eastAsia="Calibri" w:hAnsi="Arial" w:cs="Arial"/>
          <w:sz w:val="24"/>
          <w:szCs w:val="24"/>
        </w:rPr>
        <w:t>Art. 52 y 55 de la Ley de Contratación del Estado</w:t>
      </w:r>
      <w:r w:rsidR="009901D4" w:rsidRPr="00A90E99">
        <w:rPr>
          <w:rFonts w:ascii="Arial" w:eastAsia="Calibri" w:hAnsi="Arial" w:cs="Arial"/>
          <w:sz w:val="24"/>
          <w:szCs w:val="24"/>
        </w:rPr>
        <w:t>)</w:t>
      </w:r>
      <w:r w:rsidRPr="00A90E99">
        <w:rPr>
          <w:rFonts w:ascii="Arial" w:eastAsia="Calibri" w:hAnsi="Arial" w:cs="Arial"/>
          <w:sz w:val="24"/>
          <w:szCs w:val="24"/>
        </w:rPr>
        <w:t>.</w:t>
      </w:r>
    </w:p>
    <w:p w14:paraId="2BE60070" w14:textId="77777777" w:rsidR="007D64EE" w:rsidRPr="00A90E99" w:rsidRDefault="007D64EE" w:rsidP="00E444D6">
      <w:pPr>
        <w:spacing w:after="0" w:line="240" w:lineRule="auto"/>
        <w:ind w:left="720"/>
        <w:jc w:val="both"/>
        <w:rPr>
          <w:rFonts w:ascii="Arial" w:eastAsia="Calibri" w:hAnsi="Arial" w:cs="Arial"/>
          <w:sz w:val="24"/>
          <w:szCs w:val="24"/>
        </w:rPr>
      </w:pPr>
      <w:r w:rsidRPr="00A90E99">
        <w:rPr>
          <w:rFonts w:ascii="Arial" w:eastAsia="Calibri" w:hAnsi="Arial" w:cs="Arial"/>
          <w:sz w:val="24"/>
          <w:szCs w:val="24"/>
        </w:rPr>
        <w:t xml:space="preserve">resolución correspondiente. </w:t>
      </w:r>
    </w:p>
    <w:p w14:paraId="31AB9C89" w14:textId="77777777" w:rsidR="007D64EE" w:rsidRPr="00A90E99" w:rsidRDefault="007D64EE" w:rsidP="007D64EE">
      <w:pPr>
        <w:ind w:left="3261" w:hanging="1101"/>
        <w:jc w:val="both"/>
        <w:rPr>
          <w:rFonts w:ascii="Arial" w:eastAsia="Calibri" w:hAnsi="Arial" w:cs="Arial"/>
          <w:sz w:val="24"/>
          <w:szCs w:val="24"/>
        </w:rPr>
      </w:pPr>
    </w:p>
    <w:p w14:paraId="1FA0F110" w14:textId="77777777" w:rsidR="007D64EE" w:rsidRPr="00A90E99" w:rsidRDefault="007D64EE" w:rsidP="007D64EE">
      <w:pPr>
        <w:numPr>
          <w:ilvl w:val="0"/>
          <w:numId w:val="7"/>
        </w:numPr>
        <w:spacing w:after="0" w:line="240" w:lineRule="auto"/>
        <w:jc w:val="both"/>
        <w:rPr>
          <w:rFonts w:ascii="Arial" w:eastAsia="Calibri" w:hAnsi="Arial" w:cs="Arial"/>
          <w:sz w:val="24"/>
          <w:szCs w:val="24"/>
        </w:rPr>
      </w:pPr>
      <w:r w:rsidRPr="00A90E99">
        <w:rPr>
          <w:rFonts w:ascii="Arial" w:eastAsia="Calibri" w:hAnsi="Arial" w:cs="Arial"/>
          <w:sz w:val="24"/>
          <w:szCs w:val="24"/>
        </w:rPr>
        <w:t xml:space="preserve">Si se presentare una oferta sustancialmente más baja en relación con las demás ofertas o presupuesto estimado, se pedirá información adicional al oferente a fin de conocer en detalle los elementos, con el propósito de establecer su capacidad real para cumplir satisfactoriamente el contrato en las condiciones ofrecidas, pudiendo practicarse otras investigaciones o actuaciones con dicho propósito, incluyendo la exigencia de una garantía de cumplimiento equivalente al </w:t>
      </w:r>
      <w:r w:rsidR="009901D4" w:rsidRPr="00A90E99">
        <w:rPr>
          <w:rFonts w:ascii="Arial" w:eastAsia="Calibri" w:hAnsi="Arial" w:cs="Arial"/>
          <w:sz w:val="24"/>
          <w:szCs w:val="24"/>
        </w:rPr>
        <w:t>treinta (</w:t>
      </w:r>
      <w:r w:rsidRPr="00A90E99">
        <w:rPr>
          <w:rFonts w:ascii="Arial" w:eastAsia="Calibri" w:hAnsi="Arial" w:cs="Arial"/>
          <w:sz w:val="24"/>
          <w:szCs w:val="24"/>
        </w:rPr>
        <w:t>30%</w:t>
      </w:r>
      <w:r w:rsidR="009901D4" w:rsidRPr="00A90E99">
        <w:rPr>
          <w:rFonts w:ascii="Arial" w:eastAsia="Calibri" w:hAnsi="Arial" w:cs="Arial"/>
          <w:sz w:val="24"/>
          <w:szCs w:val="24"/>
        </w:rPr>
        <w:t>)</w:t>
      </w:r>
      <w:r w:rsidRPr="00A90E99">
        <w:rPr>
          <w:rFonts w:ascii="Arial" w:eastAsia="Calibri" w:hAnsi="Arial" w:cs="Arial"/>
          <w:sz w:val="24"/>
          <w:szCs w:val="24"/>
        </w:rPr>
        <w:t xml:space="preserve"> del monto contratado, en cumplimiento a lo establecido en el Artículo 51, párrafo segundo y Artículo 100 de la Ley de Contratación del Estado; 135 párrafo segundo y 139 literal c) de su Reglamento.</w:t>
      </w:r>
    </w:p>
    <w:p w14:paraId="7C4CBC9D" w14:textId="77777777" w:rsidR="00E444D6" w:rsidRPr="00A90E99" w:rsidRDefault="00E444D6" w:rsidP="00E444D6">
      <w:pPr>
        <w:spacing w:after="0" w:line="240" w:lineRule="auto"/>
        <w:jc w:val="both"/>
        <w:rPr>
          <w:rFonts w:ascii="Arial" w:eastAsia="Calibri" w:hAnsi="Arial" w:cs="Arial"/>
          <w:sz w:val="24"/>
          <w:szCs w:val="24"/>
        </w:rPr>
      </w:pPr>
    </w:p>
    <w:p w14:paraId="26ECD004" w14:textId="77777777" w:rsidR="007D64EE" w:rsidRPr="00A90E99" w:rsidRDefault="007D64EE" w:rsidP="007D64EE">
      <w:pPr>
        <w:numPr>
          <w:ilvl w:val="0"/>
          <w:numId w:val="7"/>
        </w:numPr>
        <w:tabs>
          <w:tab w:val="left" w:pos="2268"/>
        </w:tabs>
        <w:spacing w:after="0" w:line="240" w:lineRule="auto"/>
        <w:jc w:val="both"/>
        <w:rPr>
          <w:rFonts w:ascii="Arial" w:eastAsia="Calibri" w:hAnsi="Arial" w:cs="Arial"/>
          <w:sz w:val="24"/>
          <w:szCs w:val="24"/>
        </w:rPr>
      </w:pPr>
      <w:r w:rsidRPr="00A90E99">
        <w:rPr>
          <w:rFonts w:ascii="Arial" w:eastAsia="Calibri" w:hAnsi="Arial" w:cs="Arial"/>
          <w:sz w:val="24"/>
          <w:szCs w:val="24"/>
        </w:rPr>
        <w:t>Si se encontrare evidencia de que las oferta no tiene fundamento o fuere especulativa será desestimada, adjudicándose el contrato al oferente que cumpliendo con los requisitos de participación ocupe el orden sucesivo.</w:t>
      </w:r>
    </w:p>
    <w:p w14:paraId="65F50264" w14:textId="77777777" w:rsidR="007D64EE" w:rsidRPr="00A90E99" w:rsidRDefault="007D64EE" w:rsidP="00B57658">
      <w:pPr>
        <w:spacing w:after="0" w:line="240" w:lineRule="auto"/>
        <w:jc w:val="both"/>
        <w:rPr>
          <w:rFonts w:ascii="Arial" w:eastAsia="Calibri" w:hAnsi="Arial" w:cs="Arial"/>
          <w:sz w:val="24"/>
          <w:szCs w:val="24"/>
        </w:rPr>
      </w:pPr>
    </w:p>
    <w:p w14:paraId="0369A779" w14:textId="77777777" w:rsidR="000A40CC" w:rsidRPr="00A90E99" w:rsidRDefault="000A40CC" w:rsidP="007D64EE">
      <w:pPr>
        <w:numPr>
          <w:ilvl w:val="0"/>
          <w:numId w:val="7"/>
        </w:numPr>
        <w:spacing w:after="0" w:line="240" w:lineRule="auto"/>
        <w:jc w:val="both"/>
        <w:rPr>
          <w:rFonts w:ascii="Arial" w:eastAsia="Calibri" w:hAnsi="Arial" w:cs="Arial"/>
          <w:sz w:val="24"/>
          <w:szCs w:val="24"/>
        </w:rPr>
      </w:pPr>
      <w:r w:rsidRPr="00A90E99">
        <w:rPr>
          <w:rFonts w:ascii="Arial" w:eastAsia="Calibri" w:hAnsi="Arial" w:cs="Arial"/>
          <w:sz w:val="24"/>
          <w:szCs w:val="24"/>
        </w:rPr>
        <w:t xml:space="preserve">Para </w:t>
      </w:r>
      <w:r w:rsidR="00EF30B1" w:rsidRPr="00A90E99">
        <w:rPr>
          <w:rFonts w:ascii="Arial" w:eastAsia="Calibri" w:hAnsi="Arial" w:cs="Arial"/>
          <w:sz w:val="24"/>
          <w:szCs w:val="24"/>
        </w:rPr>
        <w:t>efectos de apertura se realizará</w:t>
      </w:r>
      <w:r w:rsidRPr="00A90E99">
        <w:rPr>
          <w:rFonts w:ascii="Arial" w:eastAsia="Calibri" w:hAnsi="Arial" w:cs="Arial"/>
          <w:sz w:val="24"/>
          <w:szCs w:val="24"/>
        </w:rPr>
        <w:t xml:space="preserve"> siempre y cuando se </w:t>
      </w:r>
      <w:r w:rsidR="00EF30B1" w:rsidRPr="00A90E99">
        <w:rPr>
          <w:rFonts w:ascii="Arial" w:eastAsia="Calibri" w:hAnsi="Arial" w:cs="Arial"/>
          <w:sz w:val="24"/>
          <w:szCs w:val="24"/>
        </w:rPr>
        <w:t>presentará</w:t>
      </w:r>
      <w:r w:rsidRPr="00A90E99">
        <w:rPr>
          <w:rFonts w:ascii="Arial" w:eastAsia="Calibri" w:hAnsi="Arial" w:cs="Arial"/>
          <w:sz w:val="24"/>
          <w:szCs w:val="24"/>
        </w:rPr>
        <w:t xml:space="preserve"> mínimo una oferta y se </w:t>
      </w:r>
      <w:r w:rsidR="00EF30B1" w:rsidRPr="00A90E99">
        <w:rPr>
          <w:rFonts w:ascii="Arial" w:eastAsia="Calibri" w:hAnsi="Arial" w:cs="Arial"/>
          <w:sz w:val="24"/>
          <w:szCs w:val="24"/>
        </w:rPr>
        <w:t>adjudicará</w:t>
      </w:r>
      <w:r w:rsidRPr="00A90E99">
        <w:rPr>
          <w:rFonts w:ascii="Arial" w:eastAsia="Calibri" w:hAnsi="Arial" w:cs="Arial"/>
          <w:sz w:val="24"/>
          <w:szCs w:val="24"/>
        </w:rPr>
        <w:t xml:space="preserve"> siempre y cuando sea la más conveniente para el Instituto.</w:t>
      </w:r>
    </w:p>
    <w:p w14:paraId="074A8B14" w14:textId="77777777" w:rsidR="007D64EE" w:rsidRPr="00A90E99" w:rsidRDefault="007D64EE" w:rsidP="007D64EE">
      <w:pPr>
        <w:ind w:left="3261" w:hanging="1101"/>
        <w:jc w:val="both"/>
        <w:rPr>
          <w:rFonts w:ascii="Arial" w:eastAsia="Calibri" w:hAnsi="Arial" w:cs="Arial"/>
          <w:sz w:val="24"/>
          <w:szCs w:val="24"/>
        </w:rPr>
      </w:pPr>
    </w:p>
    <w:p w14:paraId="39051380" w14:textId="045A2607" w:rsidR="002D4EF7" w:rsidRPr="00A90E99" w:rsidRDefault="00FD3B64" w:rsidP="009E0D27">
      <w:pPr>
        <w:pStyle w:val="Prrafodelista"/>
        <w:numPr>
          <w:ilvl w:val="1"/>
          <w:numId w:val="5"/>
        </w:numPr>
        <w:spacing w:before="120" w:after="120" w:line="360" w:lineRule="auto"/>
        <w:jc w:val="both"/>
        <w:rPr>
          <w:rFonts w:ascii="Arial" w:hAnsi="Arial" w:cs="Arial"/>
          <w:sz w:val="24"/>
          <w:szCs w:val="24"/>
        </w:rPr>
      </w:pPr>
      <w:r w:rsidRPr="00A90E99">
        <w:rPr>
          <w:rFonts w:ascii="Arial" w:hAnsi="Arial" w:cs="Arial"/>
          <w:sz w:val="24"/>
          <w:szCs w:val="24"/>
        </w:rPr>
        <w:lastRenderedPageBreak/>
        <w:t xml:space="preserve">Lo no previsto en estas bases de Licitación, se aplicará lo establecido en la Ley de Contratación del Estado y su Reglamento; así como las disposiciones Generales del Presupuesto de la República, encaminados al principio de legalidad, debido proceso y a los intereses del Instituto. </w:t>
      </w:r>
    </w:p>
    <w:p w14:paraId="12C9F290" w14:textId="77777777" w:rsidR="00EF30B1" w:rsidRPr="00A90E99" w:rsidRDefault="002D4EF7" w:rsidP="003233EA">
      <w:pPr>
        <w:pStyle w:val="Prrafodelista"/>
        <w:numPr>
          <w:ilvl w:val="1"/>
          <w:numId w:val="5"/>
        </w:numPr>
        <w:spacing w:before="120" w:after="120" w:line="360" w:lineRule="auto"/>
        <w:jc w:val="both"/>
        <w:rPr>
          <w:rFonts w:ascii="Arial" w:hAnsi="Arial" w:cs="Arial"/>
          <w:sz w:val="24"/>
          <w:szCs w:val="24"/>
        </w:rPr>
      </w:pPr>
      <w:r w:rsidRPr="00A90E99">
        <w:rPr>
          <w:rFonts w:ascii="Arial" w:hAnsi="Arial" w:cs="Arial"/>
          <w:sz w:val="24"/>
          <w:szCs w:val="24"/>
        </w:rPr>
        <w:t xml:space="preserve">Presentar certificados de autenticidad en forma separada una para firmas de documentos y la otra para fotocopia de documentos. </w:t>
      </w:r>
    </w:p>
    <w:p w14:paraId="686B48B7" w14:textId="77777777" w:rsidR="00255FEF" w:rsidRPr="00A90E99" w:rsidRDefault="00255FEF" w:rsidP="007D64EE">
      <w:pPr>
        <w:pStyle w:val="Prrafodelista"/>
        <w:numPr>
          <w:ilvl w:val="1"/>
          <w:numId w:val="5"/>
        </w:numPr>
        <w:spacing w:before="120" w:after="120" w:line="360" w:lineRule="auto"/>
        <w:jc w:val="both"/>
        <w:rPr>
          <w:rFonts w:ascii="Arial" w:hAnsi="Arial" w:cs="Arial"/>
          <w:sz w:val="24"/>
          <w:szCs w:val="24"/>
        </w:rPr>
      </w:pPr>
      <w:r w:rsidRPr="00A90E99">
        <w:rPr>
          <w:rFonts w:ascii="Arial" w:hAnsi="Arial" w:cs="Arial"/>
          <w:sz w:val="24"/>
          <w:szCs w:val="24"/>
        </w:rPr>
        <w:t>Los Oferente</w:t>
      </w:r>
      <w:r w:rsidR="003233EA" w:rsidRPr="00A90E99">
        <w:rPr>
          <w:rFonts w:ascii="Arial" w:hAnsi="Arial" w:cs="Arial"/>
          <w:sz w:val="24"/>
          <w:szCs w:val="24"/>
        </w:rPr>
        <w:t>s</w:t>
      </w:r>
      <w:r w:rsidRPr="00A90E99">
        <w:rPr>
          <w:rFonts w:ascii="Arial" w:hAnsi="Arial" w:cs="Arial"/>
          <w:sz w:val="24"/>
          <w:szCs w:val="24"/>
        </w:rPr>
        <w:t xml:space="preserve"> d</w:t>
      </w:r>
      <w:r w:rsidR="00537433" w:rsidRPr="00A90E99">
        <w:rPr>
          <w:rFonts w:ascii="Arial" w:hAnsi="Arial" w:cs="Arial"/>
          <w:sz w:val="24"/>
          <w:szCs w:val="24"/>
        </w:rPr>
        <w:t xml:space="preserve">eberán presentar con su oferta los </w:t>
      </w:r>
      <w:r w:rsidRPr="00A90E99">
        <w:rPr>
          <w:rFonts w:ascii="Arial" w:hAnsi="Arial" w:cs="Arial"/>
          <w:sz w:val="24"/>
          <w:szCs w:val="24"/>
        </w:rPr>
        <w:t>documentos adicionales (en el caso de ser fotocopia deben veni</w:t>
      </w:r>
      <w:r w:rsidR="00537433" w:rsidRPr="00A90E99">
        <w:rPr>
          <w:rFonts w:ascii="Arial" w:hAnsi="Arial" w:cs="Arial"/>
          <w:sz w:val="24"/>
          <w:szCs w:val="24"/>
        </w:rPr>
        <w:t>r debidamente autenticados) los que se detallan a continuación:</w:t>
      </w:r>
    </w:p>
    <w:p w14:paraId="76D17C7A" w14:textId="64FEA64B" w:rsidR="00255FEF" w:rsidRPr="00A90E99" w:rsidRDefault="00A93566" w:rsidP="00255FEF">
      <w:pPr>
        <w:pStyle w:val="Prrafodelista"/>
        <w:widowControl w:val="0"/>
        <w:numPr>
          <w:ilvl w:val="0"/>
          <w:numId w:val="1"/>
        </w:numPr>
        <w:spacing w:after="0" w:line="360" w:lineRule="auto"/>
        <w:contextualSpacing w:val="0"/>
        <w:jc w:val="both"/>
        <w:rPr>
          <w:rFonts w:ascii="Arial" w:eastAsia="Times New Roman" w:hAnsi="Arial" w:cs="Arial"/>
          <w:sz w:val="24"/>
          <w:szCs w:val="24"/>
          <w:lang w:val="es-ES_tradnl"/>
        </w:rPr>
      </w:pPr>
      <w:r w:rsidRPr="00A90E99">
        <w:rPr>
          <w:rFonts w:ascii="Arial" w:eastAsia="Times New Roman" w:hAnsi="Arial" w:cs="Arial"/>
          <w:sz w:val="24"/>
          <w:szCs w:val="24"/>
          <w:lang w:val="es-ES_tradnl"/>
        </w:rPr>
        <w:t>Fotocopia</w:t>
      </w:r>
      <w:r w:rsidR="00ED2312" w:rsidRPr="00A90E99">
        <w:rPr>
          <w:rFonts w:ascii="Arial" w:eastAsia="Times New Roman" w:hAnsi="Arial" w:cs="Arial"/>
          <w:sz w:val="24"/>
          <w:szCs w:val="24"/>
          <w:lang w:val="es-ES_tradnl"/>
        </w:rPr>
        <w:t xml:space="preserve"> de d</w:t>
      </w:r>
      <w:r w:rsidR="00537433" w:rsidRPr="00A90E99">
        <w:rPr>
          <w:rFonts w:ascii="Arial" w:eastAsia="Times New Roman" w:hAnsi="Arial" w:cs="Arial"/>
          <w:sz w:val="24"/>
          <w:szCs w:val="24"/>
          <w:lang w:val="es-ES_tradnl"/>
        </w:rPr>
        <w:t>ocume</w:t>
      </w:r>
      <w:r w:rsidR="00255FEF" w:rsidRPr="00A90E99">
        <w:rPr>
          <w:rFonts w:ascii="Arial" w:eastAsia="Times New Roman" w:hAnsi="Arial" w:cs="Arial"/>
          <w:sz w:val="24"/>
          <w:szCs w:val="24"/>
          <w:lang w:val="es-ES_tradnl"/>
        </w:rPr>
        <w:t>ntos personales del representante legal de la sociedad (</w:t>
      </w:r>
      <w:r w:rsidR="003C48ED" w:rsidRPr="00A90E99">
        <w:rPr>
          <w:rFonts w:ascii="Arial" w:eastAsia="Times New Roman" w:hAnsi="Arial" w:cs="Arial"/>
          <w:sz w:val="24"/>
          <w:szCs w:val="24"/>
          <w:lang w:val="es-ES_tradnl"/>
        </w:rPr>
        <w:t>Documento Nacional de Identificación</w:t>
      </w:r>
      <w:r w:rsidR="00255FEF" w:rsidRPr="00A90E99">
        <w:rPr>
          <w:rFonts w:ascii="Arial" w:eastAsia="Times New Roman" w:hAnsi="Arial" w:cs="Arial"/>
          <w:sz w:val="24"/>
          <w:szCs w:val="24"/>
          <w:lang w:val="es-ES_tradnl"/>
        </w:rPr>
        <w:t xml:space="preserve"> y RTN), en caso de ser extranjeros, acreditar su residencia legal en el país.</w:t>
      </w:r>
    </w:p>
    <w:p w14:paraId="5DA15904" w14:textId="182766E4" w:rsidR="00E444D6" w:rsidRPr="00A90E99" w:rsidRDefault="00A93566" w:rsidP="00255FEF">
      <w:pPr>
        <w:pStyle w:val="Prrafodelista"/>
        <w:widowControl w:val="0"/>
        <w:numPr>
          <w:ilvl w:val="0"/>
          <w:numId w:val="1"/>
        </w:numPr>
        <w:spacing w:after="0" w:line="360" w:lineRule="auto"/>
        <w:contextualSpacing w:val="0"/>
        <w:jc w:val="both"/>
        <w:rPr>
          <w:rFonts w:ascii="Arial" w:eastAsia="Times New Roman" w:hAnsi="Arial" w:cs="Arial"/>
          <w:sz w:val="24"/>
          <w:szCs w:val="24"/>
          <w:lang w:val="es-ES_tradnl"/>
        </w:rPr>
      </w:pPr>
      <w:r w:rsidRPr="00A90E99">
        <w:rPr>
          <w:rFonts w:ascii="Arial" w:eastAsia="Times New Roman" w:hAnsi="Arial" w:cs="Arial"/>
          <w:sz w:val="24"/>
          <w:szCs w:val="24"/>
          <w:lang w:val="es-ES_tradnl"/>
        </w:rPr>
        <w:t>Fotocopia</w:t>
      </w:r>
      <w:r w:rsidR="00ED2312" w:rsidRPr="00A90E99">
        <w:rPr>
          <w:rFonts w:ascii="Arial" w:eastAsia="Times New Roman" w:hAnsi="Arial" w:cs="Arial"/>
          <w:sz w:val="24"/>
          <w:szCs w:val="24"/>
          <w:lang w:val="es-ES_tradnl"/>
        </w:rPr>
        <w:t xml:space="preserve"> de </w:t>
      </w:r>
      <w:r w:rsidR="00EF30B1" w:rsidRPr="00A90E99">
        <w:rPr>
          <w:rFonts w:ascii="Arial" w:eastAsia="Times New Roman" w:hAnsi="Arial" w:cs="Arial"/>
          <w:sz w:val="24"/>
          <w:szCs w:val="24"/>
          <w:lang w:val="es-ES_tradnl"/>
        </w:rPr>
        <w:t>Escritura Pública de Constitución de S</w:t>
      </w:r>
      <w:r w:rsidR="00255FEF" w:rsidRPr="00A90E99">
        <w:rPr>
          <w:rFonts w:ascii="Arial" w:eastAsia="Times New Roman" w:hAnsi="Arial" w:cs="Arial"/>
          <w:sz w:val="24"/>
          <w:szCs w:val="24"/>
          <w:lang w:val="es-ES_tradnl"/>
        </w:rPr>
        <w:t xml:space="preserve">ociedad y sus                                     reformas, debidamente inscritas en el Registro de la Propiedad respectivo. Si la Sociedad es extranjera acreditará estar autorizada e inscrita en el registro correspondiente, </w:t>
      </w:r>
    </w:p>
    <w:p w14:paraId="11E0E2AC" w14:textId="2D960562" w:rsidR="00255FEF" w:rsidRPr="00A90E99" w:rsidRDefault="00E444D6" w:rsidP="00255FEF">
      <w:pPr>
        <w:pStyle w:val="Prrafodelista"/>
        <w:widowControl w:val="0"/>
        <w:numPr>
          <w:ilvl w:val="0"/>
          <w:numId w:val="1"/>
        </w:numPr>
        <w:spacing w:after="0" w:line="360" w:lineRule="auto"/>
        <w:contextualSpacing w:val="0"/>
        <w:jc w:val="both"/>
        <w:rPr>
          <w:rFonts w:ascii="Arial" w:eastAsia="Times New Roman" w:hAnsi="Arial" w:cs="Arial"/>
          <w:sz w:val="24"/>
          <w:szCs w:val="24"/>
          <w:lang w:val="es-ES_tradnl"/>
        </w:rPr>
      </w:pPr>
      <w:r w:rsidRPr="00A90E99">
        <w:rPr>
          <w:rFonts w:ascii="Arial" w:eastAsia="Times New Roman" w:hAnsi="Arial" w:cs="Arial"/>
          <w:sz w:val="24"/>
          <w:szCs w:val="24"/>
          <w:lang w:val="es-ES_tradnl"/>
        </w:rPr>
        <w:t xml:space="preserve"> </w:t>
      </w:r>
      <w:r w:rsidR="00A93566" w:rsidRPr="00A90E99">
        <w:rPr>
          <w:rFonts w:ascii="Arial" w:eastAsia="Times New Roman" w:hAnsi="Arial" w:cs="Arial"/>
          <w:sz w:val="24"/>
          <w:szCs w:val="24"/>
          <w:lang w:val="es-ES_tradnl"/>
        </w:rPr>
        <w:t>Fotocopi</w:t>
      </w:r>
      <w:r w:rsidR="00ED2312" w:rsidRPr="00A90E99">
        <w:rPr>
          <w:rFonts w:ascii="Arial" w:eastAsia="Times New Roman" w:hAnsi="Arial" w:cs="Arial"/>
          <w:sz w:val="24"/>
          <w:szCs w:val="24"/>
          <w:lang w:val="es-ES_tradnl"/>
        </w:rPr>
        <w:t xml:space="preserve">a del </w:t>
      </w:r>
      <w:r w:rsidRPr="00A90E99">
        <w:rPr>
          <w:rFonts w:ascii="Arial" w:eastAsia="Times New Roman" w:hAnsi="Arial" w:cs="Arial"/>
          <w:sz w:val="24"/>
          <w:szCs w:val="24"/>
          <w:lang w:val="es-ES_tradnl"/>
        </w:rPr>
        <w:t>RTN de la Empresa.</w:t>
      </w:r>
      <w:r w:rsidR="00255FEF" w:rsidRPr="00A90E99">
        <w:rPr>
          <w:rFonts w:ascii="Arial" w:eastAsia="Times New Roman" w:hAnsi="Arial" w:cs="Arial"/>
          <w:sz w:val="24"/>
          <w:szCs w:val="24"/>
          <w:lang w:val="es-ES_tradnl"/>
        </w:rPr>
        <w:t xml:space="preserve">  </w:t>
      </w:r>
    </w:p>
    <w:p w14:paraId="7B648964" w14:textId="77777777" w:rsidR="00255FEF" w:rsidRPr="00A90E99" w:rsidRDefault="00255FEF" w:rsidP="00255FEF">
      <w:pPr>
        <w:pStyle w:val="Prrafodelista"/>
        <w:widowControl w:val="0"/>
        <w:numPr>
          <w:ilvl w:val="0"/>
          <w:numId w:val="1"/>
        </w:numPr>
        <w:spacing w:after="0" w:line="360" w:lineRule="auto"/>
        <w:contextualSpacing w:val="0"/>
        <w:jc w:val="both"/>
        <w:rPr>
          <w:rFonts w:ascii="Arial" w:eastAsia="Times New Roman" w:hAnsi="Arial" w:cs="Arial"/>
          <w:sz w:val="24"/>
          <w:szCs w:val="24"/>
          <w:lang w:val="es-ES_tradnl"/>
        </w:rPr>
      </w:pPr>
      <w:r w:rsidRPr="00A90E99">
        <w:rPr>
          <w:rFonts w:ascii="Arial" w:eastAsia="Times New Roman" w:hAnsi="Arial" w:cs="Arial"/>
          <w:sz w:val="24"/>
          <w:szCs w:val="24"/>
          <w:lang w:val="es-ES_tradnl"/>
        </w:rPr>
        <w:t>Los</w:t>
      </w:r>
      <w:r w:rsidR="00EF30B1" w:rsidRPr="00A90E99">
        <w:rPr>
          <w:rFonts w:ascii="Arial" w:eastAsia="Times New Roman" w:hAnsi="Arial" w:cs="Arial"/>
          <w:sz w:val="24"/>
          <w:szCs w:val="24"/>
          <w:lang w:val="es-ES_tradnl"/>
        </w:rPr>
        <w:t xml:space="preserve"> </w:t>
      </w:r>
      <w:r w:rsidRPr="00A90E99">
        <w:rPr>
          <w:rFonts w:ascii="Arial" w:eastAsia="Times New Roman" w:hAnsi="Arial" w:cs="Arial"/>
          <w:sz w:val="24"/>
          <w:szCs w:val="24"/>
          <w:lang w:val="es-ES_tradnl"/>
        </w:rPr>
        <w:t xml:space="preserve">representantes legales deberán exhibir el poder de                                                                                                                          representación inscrito en el registro correspondiente, que indique   claramente en éste, las facultades suficientes para la suscripción del respectivo contrato. </w:t>
      </w:r>
    </w:p>
    <w:p w14:paraId="5AF7C846" w14:textId="570BD1A3" w:rsidR="00255FEF" w:rsidRPr="00A90E99" w:rsidRDefault="00A93566" w:rsidP="00255FEF">
      <w:pPr>
        <w:pStyle w:val="Prrafodelista"/>
        <w:widowControl w:val="0"/>
        <w:numPr>
          <w:ilvl w:val="0"/>
          <w:numId w:val="1"/>
        </w:numPr>
        <w:spacing w:after="0" w:line="360" w:lineRule="auto"/>
        <w:contextualSpacing w:val="0"/>
        <w:jc w:val="both"/>
        <w:rPr>
          <w:rFonts w:ascii="Arial" w:eastAsia="Times New Roman" w:hAnsi="Arial" w:cs="Arial"/>
          <w:sz w:val="24"/>
          <w:szCs w:val="24"/>
          <w:lang w:val="es-ES_tradnl"/>
        </w:rPr>
      </w:pPr>
      <w:r w:rsidRPr="00A90E99">
        <w:rPr>
          <w:rFonts w:ascii="Arial" w:eastAsia="Times New Roman" w:hAnsi="Arial" w:cs="Arial"/>
          <w:sz w:val="24"/>
          <w:szCs w:val="24"/>
          <w:lang w:val="es-ES_tradnl"/>
        </w:rPr>
        <w:t xml:space="preserve">Fotocopia </w:t>
      </w:r>
      <w:r w:rsidR="00ED2312" w:rsidRPr="00A90E99">
        <w:rPr>
          <w:rFonts w:ascii="Arial" w:eastAsia="Times New Roman" w:hAnsi="Arial" w:cs="Arial"/>
          <w:sz w:val="24"/>
          <w:szCs w:val="24"/>
          <w:lang w:val="es-ES_tradnl"/>
        </w:rPr>
        <w:t xml:space="preserve">de la </w:t>
      </w:r>
      <w:r w:rsidR="00255FEF" w:rsidRPr="00A90E99">
        <w:rPr>
          <w:rFonts w:ascii="Arial" w:eastAsia="Times New Roman" w:hAnsi="Arial" w:cs="Arial"/>
          <w:sz w:val="24"/>
          <w:szCs w:val="24"/>
          <w:lang w:val="es-ES_tradnl"/>
        </w:rPr>
        <w:t>Constancia de registro de membresía y solvencia de la Cámara de Comercio e Industrias de la localidad.</w:t>
      </w:r>
    </w:p>
    <w:p w14:paraId="6ECB0483" w14:textId="1B143EEA" w:rsidR="00255FEF" w:rsidRPr="00A90E99" w:rsidRDefault="00A93566" w:rsidP="00255FEF">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lang w:val="es-ES_tradnl"/>
        </w:rPr>
        <w:t>Fotocopia</w:t>
      </w:r>
      <w:r w:rsidRPr="00A90E99">
        <w:rPr>
          <w:rFonts w:ascii="Arial" w:hAnsi="Arial" w:cs="Arial"/>
          <w:sz w:val="24"/>
          <w:szCs w:val="24"/>
        </w:rPr>
        <w:t xml:space="preserve"> del</w:t>
      </w:r>
      <w:r w:rsidR="00ED2312" w:rsidRPr="00A90E99">
        <w:rPr>
          <w:rFonts w:ascii="Arial" w:hAnsi="Arial" w:cs="Arial"/>
          <w:sz w:val="24"/>
          <w:szCs w:val="24"/>
        </w:rPr>
        <w:t xml:space="preserve"> </w:t>
      </w:r>
      <w:r w:rsidR="00255FEF" w:rsidRPr="00A90E99">
        <w:rPr>
          <w:rFonts w:ascii="Arial" w:hAnsi="Arial" w:cs="Arial"/>
          <w:sz w:val="24"/>
          <w:szCs w:val="24"/>
        </w:rPr>
        <w:t xml:space="preserve">Certificación de inscripción vigente del registro de proveedores y contratistas que al efecto lleva la Oficina Normativa </w:t>
      </w:r>
      <w:r w:rsidR="00E63418" w:rsidRPr="00A90E99">
        <w:rPr>
          <w:rFonts w:ascii="Arial" w:hAnsi="Arial" w:cs="Arial"/>
          <w:sz w:val="24"/>
          <w:szCs w:val="24"/>
        </w:rPr>
        <w:t>de Contratación y Adquisiciones del Estado (ONCAE).</w:t>
      </w:r>
    </w:p>
    <w:p w14:paraId="2668DF66" w14:textId="2A4BA47E" w:rsidR="00255FEF" w:rsidRPr="00A90E99" w:rsidRDefault="00A124B5" w:rsidP="00A93566">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F</w:t>
      </w:r>
      <w:r w:rsidR="00A93566" w:rsidRPr="00A90E99">
        <w:rPr>
          <w:rFonts w:ascii="Arial" w:hAnsi="Arial" w:cs="Arial"/>
          <w:sz w:val="24"/>
          <w:szCs w:val="24"/>
        </w:rPr>
        <w:t xml:space="preserve">otocopia de la </w:t>
      </w:r>
      <w:r w:rsidR="00537433" w:rsidRPr="00A90E99">
        <w:rPr>
          <w:rFonts w:ascii="Arial" w:hAnsi="Arial" w:cs="Arial"/>
          <w:sz w:val="24"/>
          <w:szCs w:val="24"/>
        </w:rPr>
        <w:t>Constancia de solvencia fiscal</w:t>
      </w:r>
      <w:r w:rsidR="00255FEF" w:rsidRPr="00A90E99">
        <w:rPr>
          <w:rFonts w:ascii="Arial" w:hAnsi="Arial" w:cs="Arial"/>
          <w:sz w:val="24"/>
          <w:szCs w:val="24"/>
        </w:rPr>
        <w:t xml:space="preserve"> exte</w:t>
      </w:r>
      <w:r w:rsidR="00CD2066" w:rsidRPr="00A90E99">
        <w:rPr>
          <w:rFonts w:ascii="Arial" w:hAnsi="Arial" w:cs="Arial"/>
          <w:sz w:val="24"/>
          <w:szCs w:val="24"/>
        </w:rPr>
        <w:t>ndida por el Servicio de Administración de Rentas (SAR)</w:t>
      </w:r>
      <w:r w:rsidR="00255FEF" w:rsidRPr="00A90E99">
        <w:rPr>
          <w:rFonts w:ascii="Arial" w:hAnsi="Arial" w:cs="Arial"/>
          <w:sz w:val="24"/>
          <w:szCs w:val="24"/>
        </w:rPr>
        <w:t xml:space="preserve"> vigente. </w:t>
      </w:r>
    </w:p>
    <w:p w14:paraId="204F0E38" w14:textId="77777777" w:rsidR="00255FEF" w:rsidRPr="00A90E99" w:rsidRDefault="00EC755E" w:rsidP="00255FEF">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Fotocopia de Permiso de operación vigente</w:t>
      </w:r>
      <w:r w:rsidR="00A31205" w:rsidRPr="00A90E99">
        <w:rPr>
          <w:rFonts w:ascii="Arial" w:hAnsi="Arial" w:cs="Arial"/>
          <w:sz w:val="24"/>
          <w:szCs w:val="24"/>
        </w:rPr>
        <w:t xml:space="preserve">, </w:t>
      </w:r>
      <w:r w:rsidR="00255FEF" w:rsidRPr="00A90E99">
        <w:rPr>
          <w:rFonts w:ascii="Arial" w:hAnsi="Arial" w:cs="Arial"/>
          <w:sz w:val="24"/>
          <w:szCs w:val="24"/>
        </w:rPr>
        <w:t>extendido por la   Mu</w:t>
      </w:r>
      <w:r w:rsidRPr="00A90E99">
        <w:rPr>
          <w:rFonts w:ascii="Arial" w:hAnsi="Arial" w:cs="Arial"/>
          <w:sz w:val="24"/>
          <w:szCs w:val="24"/>
        </w:rPr>
        <w:t xml:space="preserve">nicipalidad </w:t>
      </w:r>
      <w:r w:rsidR="007109A0" w:rsidRPr="00A90E99">
        <w:rPr>
          <w:rFonts w:ascii="Arial" w:hAnsi="Arial" w:cs="Arial"/>
          <w:sz w:val="24"/>
          <w:szCs w:val="24"/>
        </w:rPr>
        <w:t>de su</w:t>
      </w:r>
      <w:r w:rsidRPr="00A90E99">
        <w:rPr>
          <w:rFonts w:ascii="Arial" w:hAnsi="Arial" w:cs="Arial"/>
          <w:sz w:val="24"/>
          <w:szCs w:val="24"/>
        </w:rPr>
        <w:t xml:space="preserve"> localidad</w:t>
      </w:r>
      <w:r w:rsidR="00255FEF" w:rsidRPr="00A90E99">
        <w:rPr>
          <w:rFonts w:ascii="Arial" w:hAnsi="Arial" w:cs="Arial"/>
          <w:sz w:val="24"/>
          <w:szCs w:val="24"/>
        </w:rPr>
        <w:t>.</w:t>
      </w:r>
    </w:p>
    <w:p w14:paraId="13E13CBC" w14:textId="449CAD04" w:rsidR="00E444D6" w:rsidRPr="00A90E99" w:rsidRDefault="00A93566" w:rsidP="00255FEF">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 xml:space="preserve">Fotocopia de la </w:t>
      </w:r>
      <w:r w:rsidR="00537433" w:rsidRPr="00A90E99">
        <w:rPr>
          <w:rFonts w:ascii="Arial" w:hAnsi="Arial" w:cs="Arial"/>
          <w:sz w:val="24"/>
          <w:szCs w:val="24"/>
        </w:rPr>
        <w:t>C</w:t>
      </w:r>
      <w:r w:rsidR="00255FEF" w:rsidRPr="00A90E99">
        <w:rPr>
          <w:rFonts w:ascii="Arial" w:hAnsi="Arial" w:cs="Arial"/>
          <w:sz w:val="24"/>
          <w:szCs w:val="24"/>
        </w:rPr>
        <w:t xml:space="preserve">onstancia de la Procuraduría General de la República </w:t>
      </w:r>
      <w:r w:rsidR="00E444D6" w:rsidRPr="00A90E99">
        <w:rPr>
          <w:rFonts w:ascii="Arial" w:hAnsi="Arial" w:cs="Arial"/>
          <w:sz w:val="24"/>
          <w:szCs w:val="24"/>
        </w:rPr>
        <w:lastRenderedPageBreak/>
        <w:t>vigente del Representante Legal</w:t>
      </w:r>
      <w:r w:rsidR="009D537D" w:rsidRPr="00A90E99">
        <w:rPr>
          <w:rFonts w:ascii="Arial" w:hAnsi="Arial" w:cs="Arial"/>
          <w:sz w:val="24"/>
          <w:szCs w:val="24"/>
        </w:rPr>
        <w:t xml:space="preserve"> con exclusividad para el Instituto de Previsión Militar (IPM)</w:t>
      </w:r>
      <w:r w:rsidR="00E444D6" w:rsidRPr="00A90E99">
        <w:rPr>
          <w:rFonts w:ascii="Arial" w:hAnsi="Arial" w:cs="Arial"/>
          <w:sz w:val="24"/>
          <w:szCs w:val="24"/>
        </w:rPr>
        <w:t>.</w:t>
      </w:r>
    </w:p>
    <w:p w14:paraId="42E3A93A" w14:textId="78E90F6C" w:rsidR="00CF28C4" w:rsidRPr="00A90E99" w:rsidRDefault="00A93566" w:rsidP="00255FEF">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 xml:space="preserve">Fotocopia de la </w:t>
      </w:r>
      <w:r w:rsidR="00537433" w:rsidRPr="00A90E99">
        <w:rPr>
          <w:rFonts w:ascii="Arial" w:hAnsi="Arial" w:cs="Arial"/>
          <w:sz w:val="24"/>
          <w:szCs w:val="24"/>
        </w:rPr>
        <w:t>C</w:t>
      </w:r>
      <w:r w:rsidR="00E444D6" w:rsidRPr="00A90E99">
        <w:rPr>
          <w:rFonts w:ascii="Arial" w:hAnsi="Arial" w:cs="Arial"/>
          <w:sz w:val="24"/>
          <w:szCs w:val="24"/>
        </w:rPr>
        <w:t>onstancia de la Procuraduría General de la República vigente de</w:t>
      </w:r>
      <w:r w:rsidR="00255FEF" w:rsidRPr="00A90E99">
        <w:rPr>
          <w:rFonts w:ascii="Arial" w:hAnsi="Arial" w:cs="Arial"/>
          <w:sz w:val="24"/>
          <w:szCs w:val="24"/>
        </w:rPr>
        <w:t xml:space="preserve"> la empresa</w:t>
      </w:r>
      <w:r w:rsidR="009D537D" w:rsidRPr="00A90E99">
        <w:rPr>
          <w:rFonts w:ascii="Arial" w:hAnsi="Arial" w:cs="Arial"/>
          <w:sz w:val="24"/>
          <w:szCs w:val="24"/>
        </w:rPr>
        <w:t xml:space="preserve"> con exclusividad para el Instituto de Previsión Militar (IPM)</w:t>
      </w:r>
      <w:r w:rsidR="00255FEF" w:rsidRPr="00A90E99">
        <w:rPr>
          <w:rFonts w:ascii="Arial" w:hAnsi="Arial" w:cs="Arial"/>
          <w:sz w:val="24"/>
          <w:szCs w:val="24"/>
        </w:rPr>
        <w:t xml:space="preserve">.  </w:t>
      </w:r>
    </w:p>
    <w:p w14:paraId="32DFE100" w14:textId="4A5F887C" w:rsidR="00255FEF" w:rsidRPr="00A90E99" w:rsidRDefault="00A93566" w:rsidP="00255FEF">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 xml:space="preserve">Fotocopia de la </w:t>
      </w:r>
      <w:r w:rsidR="00DA342F" w:rsidRPr="00A90E99">
        <w:rPr>
          <w:rFonts w:ascii="Arial" w:hAnsi="Arial" w:cs="Arial"/>
          <w:sz w:val="24"/>
          <w:szCs w:val="24"/>
        </w:rPr>
        <w:t xml:space="preserve">Constancia </w:t>
      </w:r>
      <w:r w:rsidR="00F11B77" w:rsidRPr="00A90E99">
        <w:rPr>
          <w:rFonts w:ascii="Arial" w:hAnsi="Arial" w:cs="Arial"/>
          <w:sz w:val="24"/>
          <w:szCs w:val="24"/>
        </w:rPr>
        <w:t xml:space="preserve">de </w:t>
      </w:r>
      <w:r w:rsidR="003F6041" w:rsidRPr="00A90E99">
        <w:rPr>
          <w:rFonts w:ascii="Arial" w:hAnsi="Arial" w:cs="Arial"/>
          <w:sz w:val="24"/>
          <w:szCs w:val="24"/>
        </w:rPr>
        <w:t xml:space="preserve">Solvencia vigente del </w:t>
      </w:r>
      <w:r w:rsidR="005F6FCA" w:rsidRPr="00A90E99">
        <w:rPr>
          <w:rFonts w:ascii="Arial" w:hAnsi="Arial" w:cs="Arial"/>
          <w:sz w:val="24"/>
          <w:szCs w:val="24"/>
        </w:rPr>
        <w:t xml:space="preserve">Instituto Hondureño de </w:t>
      </w:r>
      <w:r w:rsidR="00255FEF" w:rsidRPr="00A90E99">
        <w:rPr>
          <w:rFonts w:ascii="Arial" w:hAnsi="Arial" w:cs="Arial"/>
          <w:sz w:val="24"/>
          <w:szCs w:val="24"/>
        </w:rPr>
        <w:t>Seguridad Social (IHSS).</w:t>
      </w:r>
    </w:p>
    <w:p w14:paraId="51C7890D" w14:textId="577AF553" w:rsidR="00C67978" w:rsidRPr="00A90E99" w:rsidRDefault="00A93566" w:rsidP="0004498E">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 xml:space="preserve">Fotocopia de </w:t>
      </w:r>
      <w:r w:rsidR="00950FAA" w:rsidRPr="00A90E99">
        <w:rPr>
          <w:rFonts w:ascii="Arial" w:hAnsi="Arial" w:cs="Arial"/>
          <w:sz w:val="24"/>
          <w:szCs w:val="24"/>
        </w:rPr>
        <w:t xml:space="preserve">Estados financieros </w:t>
      </w:r>
      <w:r w:rsidR="009A6195" w:rsidRPr="00A90E99">
        <w:rPr>
          <w:rFonts w:ascii="Arial" w:hAnsi="Arial" w:cs="Arial"/>
          <w:sz w:val="24"/>
          <w:szCs w:val="24"/>
        </w:rPr>
        <w:t xml:space="preserve">auditados </w:t>
      </w:r>
      <w:r w:rsidR="005646EB" w:rsidRPr="00A90E99">
        <w:rPr>
          <w:rFonts w:ascii="Arial" w:hAnsi="Arial" w:cs="Arial"/>
          <w:sz w:val="24"/>
          <w:szCs w:val="24"/>
        </w:rPr>
        <w:t>de</w:t>
      </w:r>
      <w:r w:rsidR="00F166BD" w:rsidRPr="00A90E99">
        <w:rPr>
          <w:rFonts w:ascii="Arial" w:hAnsi="Arial" w:cs="Arial"/>
          <w:sz w:val="24"/>
          <w:szCs w:val="24"/>
        </w:rPr>
        <w:t xml:space="preserve"> los </w:t>
      </w:r>
      <w:r w:rsidR="00447CCC" w:rsidRPr="00A90E99">
        <w:rPr>
          <w:rFonts w:ascii="Arial" w:hAnsi="Arial" w:cs="Arial"/>
          <w:sz w:val="24"/>
          <w:szCs w:val="24"/>
        </w:rPr>
        <w:t>año</w:t>
      </w:r>
      <w:r w:rsidR="00F166BD" w:rsidRPr="00A90E99">
        <w:rPr>
          <w:rFonts w:ascii="Arial" w:hAnsi="Arial" w:cs="Arial"/>
          <w:sz w:val="24"/>
          <w:szCs w:val="24"/>
        </w:rPr>
        <w:t>s</w:t>
      </w:r>
      <w:r w:rsidR="00CF28C4" w:rsidRPr="00A90E99">
        <w:rPr>
          <w:rFonts w:ascii="Arial" w:hAnsi="Arial" w:cs="Arial"/>
          <w:sz w:val="24"/>
          <w:szCs w:val="24"/>
        </w:rPr>
        <w:t xml:space="preserve"> </w:t>
      </w:r>
      <w:r w:rsidR="00C329B3" w:rsidRPr="00A90E99">
        <w:rPr>
          <w:rFonts w:ascii="Arial" w:hAnsi="Arial" w:cs="Arial"/>
          <w:sz w:val="24"/>
          <w:szCs w:val="24"/>
        </w:rPr>
        <w:t>20</w:t>
      </w:r>
      <w:r w:rsidR="00A124B5" w:rsidRPr="00A90E99">
        <w:rPr>
          <w:rFonts w:ascii="Arial" w:hAnsi="Arial" w:cs="Arial"/>
          <w:sz w:val="24"/>
          <w:szCs w:val="24"/>
        </w:rPr>
        <w:t>23</w:t>
      </w:r>
      <w:r w:rsidR="00C329B3" w:rsidRPr="00A90E99">
        <w:rPr>
          <w:rFonts w:ascii="Arial" w:hAnsi="Arial" w:cs="Arial"/>
          <w:sz w:val="24"/>
          <w:szCs w:val="24"/>
        </w:rPr>
        <w:t xml:space="preserve"> y 202</w:t>
      </w:r>
      <w:r w:rsidR="00A124B5" w:rsidRPr="00A90E99">
        <w:rPr>
          <w:rFonts w:ascii="Arial" w:hAnsi="Arial" w:cs="Arial"/>
          <w:sz w:val="24"/>
          <w:szCs w:val="24"/>
        </w:rPr>
        <w:t>4</w:t>
      </w:r>
      <w:r w:rsidR="00642128" w:rsidRPr="00A90E99">
        <w:rPr>
          <w:rFonts w:ascii="Arial" w:hAnsi="Arial" w:cs="Arial"/>
          <w:sz w:val="24"/>
          <w:szCs w:val="24"/>
        </w:rPr>
        <w:t>.</w:t>
      </w:r>
      <w:r w:rsidR="00950FAA" w:rsidRPr="00A90E99">
        <w:rPr>
          <w:rFonts w:ascii="Arial" w:hAnsi="Arial" w:cs="Arial"/>
          <w:sz w:val="24"/>
          <w:szCs w:val="24"/>
        </w:rPr>
        <w:t xml:space="preserve"> </w:t>
      </w:r>
    </w:p>
    <w:p w14:paraId="6EE19F92" w14:textId="77777777" w:rsidR="00AF2CE1" w:rsidRPr="00A90E99" w:rsidRDefault="00AF2CE1" w:rsidP="00255FEF">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Listado de Clientes</w:t>
      </w:r>
    </w:p>
    <w:p w14:paraId="60B39ACC" w14:textId="77777777" w:rsidR="00AF2CE1" w:rsidRPr="00A90E99" w:rsidRDefault="00AF2CE1" w:rsidP="00255FEF">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Listado de Proveedores</w:t>
      </w:r>
    </w:p>
    <w:p w14:paraId="65468090" w14:textId="77777777" w:rsidR="002160A5" w:rsidRPr="00A90E99" w:rsidRDefault="002160A5" w:rsidP="00255FEF">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 xml:space="preserve">Si la empresa ha brindado servicios al IPM, brindar constancia de servicios satisfactorios. </w:t>
      </w:r>
    </w:p>
    <w:p w14:paraId="5CBF0933" w14:textId="125F71E3" w:rsidR="00537433" w:rsidRPr="00A90E99" w:rsidRDefault="00537433" w:rsidP="00537433">
      <w:pPr>
        <w:pStyle w:val="Prrafodelista"/>
        <w:widowControl w:val="0"/>
        <w:numPr>
          <w:ilvl w:val="0"/>
          <w:numId w:val="1"/>
        </w:numPr>
        <w:spacing w:after="0" w:line="360" w:lineRule="auto"/>
        <w:contextualSpacing w:val="0"/>
        <w:jc w:val="both"/>
        <w:rPr>
          <w:rFonts w:ascii="Arial" w:eastAsia="Times New Roman" w:hAnsi="Arial" w:cs="Arial"/>
          <w:sz w:val="24"/>
          <w:szCs w:val="24"/>
          <w:lang w:val="es-ES_tradnl"/>
        </w:rPr>
      </w:pPr>
      <w:r w:rsidRPr="00A90E99">
        <w:rPr>
          <w:rFonts w:ascii="Arial" w:eastAsia="Times New Roman" w:hAnsi="Arial" w:cs="Arial"/>
          <w:sz w:val="24"/>
          <w:szCs w:val="24"/>
          <w:lang w:val="es-ES_tradnl"/>
        </w:rPr>
        <w:t xml:space="preserve">Declaración Jurada de la Sociedad y de su Representante Legal de no estar comprendido en ninguno de los casos señalados en los Artículos 15 y 16 de la Ley de Contratación del </w:t>
      </w:r>
      <w:r w:rsidR="00A93566" w:rsidRPr="00A90E99">
        <w:rPr>
          <w:rFonts w:ascii="Arial" w:eastAsia="Times New Roman" w:hAnsi="Arial" w:cs="Arial"/>
          <w:sz w:val="24"/>
          <w:szCs w:val="24"/>
          <w:lang w:val="es-ES_tradnl"/>
        </w:rPr>
        <w:t>Estado</w:t>
      </w:r>
      <w:r w:rsidR="007818A9" w:rsidRPr="00A90E99">
        <w:rPr>
          <w:rFonts w:ascii="Arial" w:eastAsia="Times New Roman" w:hAnsi="Arial" w:cs="Arial"/>
          <w:sz w:val="24"/>
          <w:szCs w:val="24"/>
          <w:lang w:val="es-ES_tradnl"/>
        </w:rPr>
        <w:t xml:space="preserve"> </w:t>
      </w:r>
      <w:r w:rsidR="00A93566" w:rsidRPr="00A90E99">
        <w:rPr>
          <w:rFonts w:ascii="Arial" w:eastAsia="Times New Roman" w:hAnsi="Arial" w:cs="Arial"/>
          <w:sz w:val="24"/>
          <w:szCs w:val="24"/>
          <w:lang w:val="es-ES_tradnl"/>
        </w:rPr>
        <w:t>(debidamente autenticada).</w:t>
      </w:r>
    </w:p>
    <w:p w14:paraId="27D0D128" w14:textId="2FEC43D7" w:rsidR="00537433" w:rsidRPr="00A90E99" w:rsidRDefault="00537433" w:rsidP="00C917A1">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Declaración Jurada de la empresa y su representante Legal de no estar comprendido en ninguno de los casos señalados de los artículos 36,37,38,39,40 y 41 de la Ley Espec</w:t>
      </w:r>
      <w:r w:rsidR="00C917A1" w:rsidRPr="00A90E99">
        <w:rPr>
          <w:rFonts w:ascii="Arial" w:hAnsi="Arial" w:cs="Arial"/>
          <w:sz w:val="24"/>
          <w:szCs w:val="24"/>
        </w:rPr>
        <w:t>ial Contra el Lavado de Activos debidamente autenticada.</w:t>
      </w:r>
    </w:p>
    <w:p w14:paraId="00C6C20D" w14:textId="298EFB2E" w:rsidR="000A659B" w:rsidRPr="00A90E99" w:rsidRDefault="000A659B" w:rsidP="00537433">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Organigrama y estructura de la empresa</w:t>
      </w:r>
    </w:p>
    <w:p w14:paraId="6D46CBE8" w14:textId="7416CD21" w:rsidR="000A659B" w:rsidRPr="00A90E99" w:rsidRDefault="000A659B" w:rsidP="00537433">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 xml:space="preserve">5 cartas de recomendación actuales. </w:t>
      </w:r>
    </w:p>
    <w:p w14:paraId="29C86A85" w14:textId="2828192F" w:rsidR="000A659B" w:rsidRPr="00A90E99" w:rsidRDefault="000A659B" w:rsidP="00537433">
      <w:pPr>
        <w:widowControl w:val="0"/>
        <w:numPr>
          <w:ilvl w:val="0"/>
          <w:numId w:val="1"/>
        </w:numPr>
        <w:spacing w:after="0" w:line="360" w:lineRule="auto"/>
        <w:jc w:val="both"/>
        <w:rPr>
          <w:rFonts w:ascii="Arial" w:hAnsi="Arial" w:cs="Arial"/>
          <w:sz w:val="24"/>
          <w:szCs w:val="24"/>
        </w:rPr>
      </w:pPr>
      <w:r w:rsidRPr="00A90E99">
        <w:rPr>
          <w:rFonts w:ascii="Arial" w:hAnsi="Arial" w:cs="Arial"/>
          <w:sz w:val="24"/>
          <w:szCs w:val="24"/>
        </w:rPr>
        <w:t xml:space="preserve">Croquis de la empresa. </w:t>
      </w:r>
    </w:p>
    <w:p w14:paraId="10F4A707" w14:textId="77777777" w:rsidR="005B0F26" w:rsidRPr="00A90E99" w:rsidRDefault="005B0F26" w:rsidP="005B0F26">
      <w:pPr>
        <w:widowControl w:val="0"/>
        <w:spacing w:after="0" w:line="360" w:lineRule="auto"/>
        <w:ind w:left="360"/>
        <w:jc w:val="both"/>
        <w:rPr>
          <w:rFonts w:ascii="Arial" w:hAnsi="Arial" w:cs="Arial"/>
          <w:sz w:val="24"/>
          <w:szCs w:val="24"/>
        </w:rPr>
      </w:pPr>
    </w:p>
    <w:p w14:paraId="14B87390" w14:textId="77777777" w:rsidR="00950FAA" w:rsidRPr="00A90E99" w:rsidRDefault="00950FAA" w:rsidP="005B0F26">
      <w:pPr>
        <w:widowControl w:val="0"/>
        <w:spacing w:after="0" w:line="360" w:lineRule="auto"/>
        <w:ind w:left="360"/>
        <w:jc w:val="both"/>
        <w:rPr>
          <w:rFonts w:ascii="Arial" w:hAnsi="Arial" w:cs="Arial"/>
          <w:sz w:val="24"/>
          <w:szCs w:val="24"/>
        </w:rPr>
      </w:pPr>
      <w:r w:rsidRPr="00A90E99">
        <w:rPr>
          <w:rFonts w:ascii="Arial" w:hAnsi="Arial" w:cs="Arial"/>
          <w:sz w:val="24"/>
          <w:szCs w:val="24"/>
        </w:rPr>
        <w:t>Observaciones</w:t>
      </w:r>
      <w:r w:rsidR="005B0F26" w:rsidRPr="00A90E99">
        <w:rPr>
          <w:rFonts w:ascii="Arial" w:hAnsi="Arial" w:cs="Arial"/>
          <w:sz w:val="24"/>
          <w:szCs w:val="24"/>
        </w:rPr>
        <w:t>:</w:t>
      </w:r>
    </w:p>
    <w:p w14:paraId="033621C0" w14:textId="5B938B21" w:rsidR="005B0F26" w:rsidRPr="00A90E99" w:rsidRDefault="005B0F26" w:rsidP="00950FAA">
      <w:pPr>
        <w:pStyle w:val="Prrafodelista"/>
        <w:widowControl w:val="0"/>
        <w:numPr>
          <w:ilvl w:val="0"/>
          <w:numId w:val="10"/>
        </w:numPr>
        <w:spacing w:after="0" w:line="360" w:lineRule="auto"/>
        <w:jc w:val="both"/>
        <w:rPr>
          <w:rFonts w:ascii="Arial" w:hAnsi="Arial" w:cs="Arial"/>
          <w:b/>
          <w:bCs/>
          <w:sz w:val="24"/>
          <w:szCs w:val="24"/>
          <w:u w:val="single"/>
        </w:rPr>
      </w:pPr>
      <w:r w:rsidRPr="00A90E99">
        <w:rPr>
          <w:rFonts w:ascii="Arial" w:hAnsi="Arial" w:cs="Arial"/>
          <w:sz w:val="24"/>
          <w:szCs w:val="24"/>
        </w:rPr>
        <w:t xml:space="preserve"> Los oferentes deberán presentar la documentación requerida en las bases de licitación, siguiendo el orden solicitado por el IPM</w:t>
      </w:r>
      <w:r w:rsidR="009B3606" w:rsidRPr="00A90E99">
        <w:rPr>
          <w:rFonts w:ascii="Arial" w:hAnsi="Arial" w:cs="Arial"/>
          <w:sz w:val="24"/>
          <w:szCs w:val="24"/>
        </w:rPr>
        <w:t xml:space="preserve"> </w:t>
      </w:r>
      <w:r w:rsidR="009B3606" w:rsidRPr="00A90E99">
        <w:rPr>
          <w:rFonts w:ascii="Arial" w:hAnsi="Arial" w:cs="Arial"/>
          <w:b/>
          <w:bCs/>
          <w:sz w:val="24"/>
          <w:szCs w:val="24"/>
          <w:u w:val="single"/>
        </w:rPr>
        <w:t xml:space="preserve">y se deben entregar </w:t>
      </w:r>
      <w:r w:rsidR="0024769A" w:rsidRPr="00A90E99">
        <w:rPr>
          <w:rFonts w:ascii="Arial" w:hAnsi="Arial" w:cs="Arial"/>
          <w:b/>
          <w:bCs/>
          <w:sz w:val="24"/>
          <w:szCs w:val="24"/>
          <w:u w:val="single"/>
        </w:rPr>
        <w:t>dos</w:t>
      </w:r>
      <w:r w:rsidR="009B3606" w:rsidRPr="00A90E99">
        <w:rPr>
          <w:rFonts w:ascii="Arial" w:hAnsi="Arial" w:cs="Arial"/>
          <w:b/>
          <w:bCs/>
          <w:sz w:val="24"/>
          <w:szCs w:val="24"/>
          <w:u w:val="single"/>
        </w:rPr>
        <w:t xml:space="preserve"> copia</w:t>
      </w:r>
      <w:r w:rsidR="0024769A" w:rsidRPr="00A90E99">
        <w:rPr>
          <w:rFonts w:ascii="Arial" w:hAnsi="Arial" w:cs="Arial"/>
          <w:b/>
          <w:bCs/>
          <w:sz w:val="24"/>
          <w:szCs w:val="24"/>
          <w:u w:val="single"/>
        </w:rPr>
        <w:t>s</w:t>
      </w:r>
      <w:r w:rsidR="009B3606" w:rsidRPr="00A90E99">
        <w:rPr>
          <w:rFonts w:ascii="Arial" w:hAnsi="Arial" w:cs="Arial"/>
          <w:b/>
          <w:bCs/>
          <w:sz w:val="24"/>
          <w:szCs w:val="24"/>
          <w:u w:val="single"/>
        </w:rPr>
        <w:t xml:space="preserve"> de la oferta. </w:t>
      </w:r>
    </w:p>
    <w:p w14:paraId="4EB96C56" w14:textId="69634C54" w:rsidR="00660D41" w:rsidRPr="00A90E99" w:rsidRDefault="00660D41" w:rsidP="00950FAA">
      <w:pPr>
        <w:pStyle w:val="Prrafodelista"/>
        <w:widowControl w:val="0"/>
        <w:numPr>
          <w:ilvl w:val="0"/>
          <w:numId w:val="10"/>
        </w:numPr>
        <w:spacing w:after="0" w:line="360" w:lineRule="auto"/>
        <w:jc w:val="both"/>
        <w:rPr>
          <w:rFonts w:ascii="Arial" w:hAnsi="Arial" w:cs="Arial"/>
          <w:sz w:val="24"/>
          <w:szCs w:val="24"/>
        </w:rPr>
      </w:pPr>
      <w:r w:rsidRPr="00A90E99">
        <w:rPr>
          <w:rFonts w:ascii="Arial" w:hAnsi="Arial" w:cs="Arial"/>
          <w:sz w:val="24"/>
          <w:szCs w:val="24"/>
        </w:rPr>
        <w:t>Las disposiciones generales del presupuesto aplicables son las del año 202</w:t>
      </w:r>
      <w:r w:rsidR="00820E92" w:rsidRPr="00A90E99">
        <w:rPr>
          <w:rFonts w:ascii="Arial" w:hAnsi="Arial" w:cs="Arial"/>
          <w:sz w:val="24"/>
          <w:szCs w:val="24"/>
        </w:rPr>
        <w:t>5</w:t>
      </w:r>
      <w:r w:rsidRPr="00A90E99">
        <w:rPr>
          <w:rFonts w:ascii="Arial" w:hAnsi="Arial" w:cs="Arial"/>
          <w:sz w:val="24"/>
          <w:szCs w:val="24"/>
        </w:rPr>
        <w:t>.</w:t>
      </w:r>
    </w:p>
    <w:p w14:paraId="3A7DF1D1" w14:textId="77777777" w:rsidR="00950FAA" w:rsidRPr="00A90E99" w:rsidRDefault="00950FAA" w:rsidP="00950FAA">
      <w:pPr>
        <w:pStyle w:val="Prrafodelista"/>
        <w:widowControl w:val="0"/>
        <w:numPr>
          <w:ilvl w:val="0"/>
          <w:numId w:val="10"/>
        </w:numPr>
        <w:spacing w:after="0" w:line="360" w:lineRule="auto"/>
        <w:jc w:val="both"/>
        <w:rPr>
          <w:rFonts w:ascii="Arial" w:hAnsi="Arial" w:cs="Arial"/>
          <w:sz w:val="24"/>
          <w:szCs w:val="24"/>
        </w:rPr>
      </w:pPr>
      <w:r w:rsidRPr="00A90E99">
        <w:rPr>
          <w:rFonts w:ascii="Arial" w:hAnsi="Arial" w:cs="Arial"/>
          <w:sz w:val="24"/>
          <w:szCs w:val="24"/>
        </w:rPr>
        <w:t>El monto de la garantía deberá</w:t>
      </w:r>
      <w:r w:rsidR="00EC755E" w:rsidRPr="00A90E99">
        <w:rPr>
          <w:rFonts w:ascii="Arial" w:hAnsi="Arial" w:cs="Arial"/>
          <w:sz w:val="24"/>
          <w:szCs w:val="24"/>
        </w:rPr>
        <w:t xml:space="preserve"> cubrir el total de la oferta, </w:t>
      </w:r>
      <w:r w:rsidRPr="00A90E99">
        <w:rPr>
          <w:rFonts w:ascii="Arial" w:hAnsi="Arial" w:cs="Arial"/>
          <w:sz w:val="24"/>
          <w:szCs w:val="24"/>
        </w:rPr>
        <w:t>incluyendo</w:t>
      </w:r>
      <w:r w:rsidR="00EC755E" w:rsidRPr="00A90E99">
        <w:rPr>
          <w:rFonts w:ascii="Arial" w:hAnsi="Arial" w:cs="Arial"/>
          <w:sz w:val="24"/>
          <w:szCs w:val="24"/>
        </w:rPr>
        <w:t xml:space="preserve"> impuesto</w:t>
      </w:r>
      <w:r w:rsidR="003126B5" w:rsidRPr="00A90E99">
        <w:rPr>
          <w:rFonts w:ascii="Arial" w:hAnsi="Arial" w:cs="Arial"/>
          <w:sz w:val="24"/>
          <w:szCs w:val="24"/>
        </w:rPr>
        <w:t>s</w:t>
      </w:r>
      <w:r w:rsidR="00413C44" w:rsidRPr="00A90E99">
        <w:rPr>
          <w:rFonts w:ascii="Arial" w:hAnsi="Arial" w:cs="Arial"/>
          <w:sz w:val="24"/>
          <w:szCs w:val="24"/>
        </w:rPr>
        <w:t xml:space="preserve"> y será solamente aceptada en Lempiras. </w:t>
      </w:r>
    </w:p>
    <w:p w14:paraId="0CB2AFDA" w14:textId="52887E12" w:rsidR="003A508B" w:rsidRPr="00A90E99" w:rsidRDefault="003A508B" w:rsidP="003A508B">
      <w:pPr>
        <w:pStyle w:val="Prrafodelista"/>
        <w:tabs>
          <w:tab w:val="left" w:pos="5280"/>
        </w:tabs>
        <w:rPr>
          <w:rFonts w:ascii="Arial" w:hAnsi="Arial" w:cs="Arial"/>
          <w:b/>
          <w:sz w:val="24"/>
          <w:szCs w:val="24"/>
        </w:rPr>
      </w:pPr>
      <w:r w:rsidRPr="00A90E99">
        <w:rPr>
          <w:rFonts w:ascii="Arial" w:hAnsi="Arial" w:cs="Arial"/>
          <w:b/>
          <w:sz w:val="24"/>
          <w:szCs w:val="24"/>
        </w:rPr>
        <w:lastRenderedPageBreak/>
        <w:t>Los Oferentes NO podrán ofrecer garantías o fianzas emitidas por la</w:t>
      </w:r>
      <w:r w:rsidR="00E06643" w:rsidRPr="00A90E99">
        <w:rPr>
          <w:rFonts w:ascii="Arial" w:hAnsi="Arial" w:cs="Arial"/>
          <w:b/>
          <w:sz w:val="24"/>
          <w:szCs w:val="24"/>
        </w:rPr>
        <w:t>s</w:t>
      </w:r>
      <w:r w:rsidRPr="00A90E99">
        <w:rPr>
          <w:rFonts w:ascii="Arial" w:hAnsi="Arial" w:cs="Arial"/>
          <w:b/>
          <w:sz w:val="24"/>
          <w:szCs w:val="24"/>
        </w:rPr>
        <w:t xml:space="preserve"> Compañía</w:t>
      </w:r>
      <w:r w:rsidR="00E06643" w:rsidRPr="00A90E99">
        <w:rPr>
          <w:rFonts w:ascii="Arial" w:hAnsi="Arial" w:cs="Arial"/>
          <w:b/>
          <w:sz w:val="24"/>
          <w:szCs w:val="24"/>
        </w:rPr>
        <w:t>s</w:t>
      </w:r>
      <w:r w:rsidRPr="00A90E99">
        <w:rPr>
          <w:rFonts w:ascii="Arial" w:hAnsi="Arial" w:cs="Arial"/>
          <w:b/>
          <w:sz w:val="24"/>
          <w:szCs w:val="24"/>
        </w:rPr>
        <w:t xml:space="preserve"> Aseguradora</w:t>
      </w:r>
      <w:r w:rsidR="00E06643" w:rsidRPr="00A90E99">
        <w:rPr>
          <w:rFonts w:ascii="Arial" w:hAnsi="Arial" w:cs="Arial"/>
          <w:b/>
          <w:sz w:val="24"/>
          <w:szCs w:val="24"/>
        </w:rPr>
        <w:t>s</w:t>
      </w:r>
      <w:r w:rsidRPr="00A90E99">
        <w:rPr>
          <w:rFonts w:ascii="Arial" w:hAnsi="Arial" w:cs="Arial"/>
          <w:b/>
          <w:sz w:val="24"/>
          <w:szCs w:val="24"/>
        </w:rPr>
        <w:t xml:space="preserve">.  </w:t>
      </w:r>
    </w:p>
    <w:p w14:paraId="3E10F844" w14:textId="5B958F11" w:rsidR="005F15FD" w:rsidRPr="00A90E99" w:rsidRDefault="005F15FD" w:rsidP="00950FAA">
      <w:pPr>
        <w:pStyle w:val="Prrafodelista"/>
        <w:widowControl w:val="0"/>
        <w:numPr>
          <w:ilvl w:val="0"/>
          <w:numId w:val="10"/>
        </w:numPr>
        <w:spacing w:after="0" w:line="360" w:lineRule="auto"/>
        <w:jc w:val="both"/>
        <w:rPr>
          <w:rFonts w:ascii="Arial" w:hAnsi="Arial" w:cs="Arial"/>
          <w:sz w:val="24"/>
          <w:szCs w:val="24"/>
        </w:rPr>
      </w:pPr>
      <w:r w:rsidRPr="00A90E99">
        <w:rPr>
          <w:rFonts w:ascii="Arial" w:hAnsi="Arial" w:cs="Arial"/>
          <w:sz w:val="24"/>
          <w:szCs w:val="24"/>
        </w:rPr>
        <w:t xml:space="preserve">El </w:t>
      </w:r>
      <w:r w:rsidR="00CF28C4" w:rsidRPr="00A90E99">
        <w:rPr>
          <w:rFonts w:ascii="Arial" w:hAnsi="Arial" w:cs="Arial"/>
          <w:sz w:val="24"/>
          <w:szCs w:val="24"/>
        </w:rPr>
        <w:t xml:space="preserve">número </w:t>
      </w:r>
      <w:r w:rsidRPr="00A90E99">
        <w:rPr>
          <w:rFonts w:ascii="Arial" w:hAnsi="Arial" w:cs="Arial"/>
          <w:sz w:val="24"/>
          <w:szCs w:val="24"/>
        </w:rPr>
        <w:t xml:space="preserve">mínimo de oferentes </w:t>
      </w:r>
      <w:r w:rsidR="009B3E91" w:rsidRPr="00A90E99">
        <w:rPr>
          <w:rFonts w:ascii="Arial" w:hAnsi="Arial" w:cs="Arial"/>
          <w:sz w:val="24"/>
          <w:szCs w:val="24"/>
        </w:rPr>
        <w:t>es 1 empresa</w:t>
      </w:r>
      <w:r w:rsidRPr="00A90E99">
        <w:rPr>
          <w:rFonts w:ascii="Arial" w:hAnsi="Arial" w:cs="Arial"/>
          <w:sz w:val="24"/>
          <w:szCs w:val="24"/>
        </w:rPr>
        <w:t xml:space="preserve"> para realizar el proceso. </w:t>
      </w:r>
    </w:p>
    <w:p w14:paraId="2C4FE5CE" w14:textId="6B2BDB24" w:rsidR="00255FEF" w:rsidRPr="00A90E99" w:rsidRDefault="00975B9C" w:rsidP="009E0D27">
      <w:pPr>
        <w:pStyle w:val="Prrafodelista"/>
        <w:widowControl w:val="0"/>
        <w:numPr>
          <w:ilvl w:val="0"/>
          <w:numId w:val="10"/>
        </w:numPr>
        <w:spacing w:after="0" w:line="360" w:lineRule="auto"/>
        <w:jc w:val="both"/>
        <w:rPr>
          <w:rFonts w:ascii="Arial" w:hAnsi="Arial" w:cs="Arial"/>
          <w:sz w:val="24"/>
          <w:szCs w:val="24"/>
        </w:rPr>
      </w:pPr>
      <w:r w:rsidRPr="00A90E99">
        <w:rPr>
          <w:rFonts w:ascii="Arial" w:hAnsi="Arial" w:cs="Arial"/>
          <w:sz w:val="24"/>
          <w:szCs w:val="24"/>
        </w:rPr>
        <w:t xml:space="preserve">La oferta deberá incluir el ISV, el cual será retenido por el IPM. </w:t>
      </w:r>
    </w:p>
    <w:sectPr w:rsidR="00255FEF" w:rsidRPr="00A90E9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54A25" w14:textId="77777777" w:rsidR="00123B75" w:rsidRDefault="00123B75" w:rsidP="00761B27">
      <w:pPr>
        <w:spacing w:after="0" w:line="240" w:lineRule="auto"/>
      </w:pPr>
      <w:r>
        <w:separator/>
      </w:r>
    </w:p>
  </w:endnote>
  <w:endnote w:type="continuationSeparator" w:id="0">
    <w:p w14:paraId="37FB3F67" w14:textId="77777777" w:rsidR="00123B75" w:rsidRDefault="00123B75" w:rsidP="0076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AA87" w14:textId="77777777" w:rsidR="00123B75" w:rsidRDefault="00123B75" w:rsidP="00761B27">
      <w:pPr>
        <w:spacing w:after="0" w:line="240" w:lineRule="auto"/>
      </w:pPr>
      <w:r>
        <w:separator/>
      </w:r>
    </w:p>
  </w:footnote>
  <w:footnote w:type="continuationSeparator" w:id="0">
    <w:p w14:paraId="3D7ABA73" w14:textId="77777777" w:rsidR="00123B75" w:rsidRDefault="00123B75" w:rsidP="00761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DCE"/>
    <w:multiLevelType w:val="multilevel"/>
    <w:tmpl w:val="E3EA1A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61B3119"/>
    <w:multiLevelType w:val="hybridMultilevel"/>
    <w:tmpl w:val="990CD4B8"/>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198B1E4F"/>
    <w:multiLevelType w:val="hybridMultilevel"/>
    <w:tmpl w:val="7A2EA0FA"/>
    <w:lvl w:ilvl="0" w:tplc="3C944D64">
      <w:start w:val="1"/>
      <w:numFmt w:val="low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237A2EBC"/>
    <w:multiLevelType w:val="hybridMultilevel"/>
    <w:tmpl w:val="062C3FD2"/>
    <w:lvl w:ilvl="0" w:tplc="EAAA0892">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4" w15:restartNumberingAfterBreak="0">
    <w:nsid w:val="3FC17EA4"/>
    <w:multiLevelType w:val="hybridMultilevel"/>
    <w:tmpl w:val="B6648B86"/>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43A41B7D"/>
    <w:multiLevelType w:val="hybridMultilevel"/>
    <w:tmpl w:val="2A9636F0"/>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4E0D101F"/>
    <w:multiLevelType w:val="multilevel"/>
    <w:tmpl w:val="F2CAEA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793E1A"/>
    <w:multiLevelType w:val="hybridMultilevel"/>
    <w:tmpl w:val="0E24DE12"/>
    <w:lvl w:ilvl="0" w:tplc="D6A0405A">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8" w15:restartNumberingAfterBreak="0">
    <w:nsid w:val="58C42049"/>
    <w:multiLevelType w:val="hybridMultilevel"/>
    <w:tmpl w:val="410011B8"/>
    <w:lvl w:ilvl="0" w:tplc="14E869A4">
      <w:start w:val="1"/>
      <w:numFmt w:val="decimal"/>
      <w:lvlText w:val="%1."/>
      <w:lvlJc w:val="left"/>
      <w:pPr>
        <w:ind w:left="720" w:hanging="360"/>
      </w:pPr>
      <w:rPr>
        <w:rFonts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5AA531D8"/>
    <w:multiLevelType w:val="hybridMultilevel"/>
    <w:tmpl w:val="7E5ACDD2"/>
    <w:lvl w:ilvl="0" w:tplc="69A2E0E6">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0" w15:restartNumberingAfterBreak="0">
    <w:nsid w:val="5EA94654"/>
    <w:multiLevelType w:val="hybridMultilevel"/>
    <w:tmpl w:val="4642A216"/>
    <w:lvl w:ilvl="0" w:tplc="C368012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E69DF"/>
    <w:multiLevelType w:val="multilevel"/>
    <w:tmpl w:val="939A0E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2015BA"/>
    <w:multiLevelType w:val="multilevel"/>
    <w:tmpl w:val="94B0B9A6"/>
    <w:lvl w:ilvl="0">
      <w:start w:val="1"/>
      <w:numFmt w:val="decimal"/>
      <w:lvlText w:val="%1."/>
      <w:lvlJc w:val="left"/>
      <w:pPr>
        <w:ind w:left="360" w:hanging="360"/>
      </w:pPr>
      <w:rPr>
        <w:b/>
      </w:rPr>
    </w:lvl>
    <w:lvl w:ilvl="1">
      <w:start w:val="1"/>
      <w:numFmt w:val="decimal"/>
      <w:isLgl/>
      <w:lvlText w:val="%1.%2"/>
      <w:lvlJc w:val="left"/>
      <w:pPr>
        <w:ind w:left="405" w:hanging="405"/>
      </w:pPr>
      <w:rPr>
        <w:rFonts w:ascii="Book Antiqua" w:hAnsi="Book Antiqua" w:cs="Arial" w:hint="default"/>
        <w:b/>
      </w:rPr>
    </w:lvl>
    <w:lvl w:ilvl="2">
      <w:start w:val="1"/>
      <w:numFmt w:val="decimal"/>
      <w:isLgl/>
      <w:lvlText w:val="%1.%2.%3"/>
      <w:lvlJc w:val="left"/>
      <w:pPr>
        <w:ind w:left="1582" w:hanging="720"/>
      </w:pPr>
      <w:rPr>
        <w:rFonts w:ascii="Arial" w:hAnsi="Arial" w:cs="Arial" w:hint="default"/>
        <w:b w:val="0"/>
      </w:rPr>
    </w:lvl>
    <w:lvl w:ilvl="3">
      <w:start w:val="1"/>
      <w:numFmt w:val="decimal"/>
      <w:isLgl/>
      <w:lvlText w:val="%1.%2.%3.%4"/>
      <w:lvlJc w:val="left"/>
      <w:pPr>
        <w:ind w:left="2302" w:hanging="1080"/>
      </w:pPr>
      <w:rPr>
        <w:rFonts w:ascii="Arial" w:hAnsi="Arial" w:cs="Arial" w:hint="default"/>
        <w:b w:val="0"/>
      </w:rPr>
    </w:lvl>
    <w:lvl w:ilvl="4">
      <w:start w:val="1"/>
      <w:numFmt w:val="decimal"/>
      <w:isLgl/>
      <w:lvlText w:val="%1.%2.%3.%4.%5"/>
      <w:lvlJc w:val="left"/>
      <w:pPr>
        <w:ind w:left="2662" w:hanging="1080"/>
      </w:pPr>
      <w:rPr>
        <w:rFonts w:ascii="Arial" w:hAnsi="Arial" w:cs="Arial" w:hint="default"/>
        <w:b w:val="0"/>
      </w:rPr>
    </w:lvl>
    <w:lvl w:ilvl="5">
      <w:start w:val="1"/>
      <w:numFmt w:val="decimal"/>
      <w:isLgl/>
      <w:lvlText w:val="%1.%2.%3.%4.%5.%6"/>
      <w:lvlJc w:val="left"/>
      <w:pPr>
        <w:ind w:left="3382" w:hanging="1440"/>
      </w:pPr>
      <w:rPr>
        <w:rFonts w:ascii="Arial" w:hAnsi="Arial" w:cs="Arial" w:hint="default"/>
        <w:b w:val="0"/>
      </w:rPr>
    </w:lvl>
    <w:lvl w:ilvl="6">
      <w:start w:val="1"/>
      <w:numFmt w:val="decimal"/>
      <w:isLgl/>
      <w:lvlText w:val="%1.%2.%3.%4.%5.%6.%7"/>
      <w:lvlJc w:val="left"/>
      <w:pPr>
        <w:ind w:left="3742" w:hanging="1440"/>
      </w:pPr>
      <w:rPr>
        <w:rFonts w:ascii="Arial" w:hAnsi="Arial" w:cs="Arial" w:hint="default"/>
        <w:b w:val="0"/>
      </w:rPr>
    </w:lvl>
    <w:lvl w:ilvl="7">
      <w:start w:val="1"/>
      <w:numFmt w:val="decimal"/>
      <w:isLgl/>
      <w:lvlText w:val="%1.%2.%3.%4.%5.%6.%7.%8"/>
      <w:lvlJc w:val="left"/>
      <w:pPr>
        <w:ind w:left="4462" w:hanging="1800"/>
      </w:pPr>
      <w:rPr>
        <w:rFonts w:ascii="Arial" w:hAnsi="Arial" w:cs="Arial" w:hint="default"/>
        <w:b w:val="0"/>
      </w:rPr>
    </w:lvl>
    <w:lvl w:ilvl="8">
      <w:start w:val="1"/>
      <w:numFmt w:val="decimal"/>
      <w:isLgl/>
      <w:lvlText w:val="%1.%2.%3.%4.%5.%6.%7.%8.%9"/>
      <w:lvlJc w:val="left"/>
      <w:pPr>
        <w:ind w:left="4822" w:hanging="1800"/>
      </w:pPr>
      <w:rPr>
        <w:rFonts w:ascii="Arial" w:hAnsi="Arial" w:cs="Arial" w:hint="default"/>
        <w:b w:val="0"/>
      </w:rPr>
    </w:lvl>
  </w:abstractNum>
  <w:abstractNum w:abstractNumId="13" w15:restartNumberingAfterBreak="0">
    <w:nsid w:val="7C84194E"/>
    <w:multiLevelType w:val="multilevel"/>
    <w:tmpl w:val="FEBC01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16347548">
    <w:abstractNumId w:val="1"/>
  </w:num>
  <w:num w:numId="2" w16cid:durableId="364259058">
    <w:abstractNumId w:val="5"/>
  </w:num>
  <w:num w:numId="3" w16cid:durableId="517307932">
    <w:abstractNumId w:val="3"/>
  </w:num>
  <w:num w:numId="4" w16cid:durableId="1398481402">
    <w:abstractNumId w:val="9"/>
  </w:num>
  <w:num w:numId="5" w16cid:durableId="758789515">
    <w:abstractNumId w:val="13"/>
  </w:num>
  <w:num w:numId="6" w16cid:durableId="729815240">
    <w:abstractNumId w:val="4"/>
  </w:num>
  <w:num w:numId="7" w16cid:durableId="459231455">
    <w:abstractNumId w:val="10"/>
  </w:num>
  <w:num w:numId="8" w16cid:durableId="738677990">
    <w:abstractNumId w:val="2"/>
  </w:num>
  <w:num w:numId="9" w16cid:durableId="513376044">
    <w:abstractNumId w:val="7"/>
  </w:num>
  <w:num w:numId="10" w16cid:durableId="1594820161">
    <w:abstractNumId w:val="8"/>
  </w:num>
  <w:num w:numId="11" w16cid:durableId="12163588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2295143">
    <w:abstractNumId w:val="6"/>
  </w:num>
  <w:num w:numId="13" w16cid:durableId="1681661613">
    <w:abstractNumId w:val="0"/>
  </w:num>
  <w:num w:numId="14" w16cid:durableId="114716008">
    <w:abstractNumId w:val="11"/>
  </w:num>
  <w:num w:numId="15" w16cid:durableId="1644966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EF"/>
    <w:rsid w:val="00021C47"/>
    <w:rsid w:val="000352E5"/>
    <w:rsid w:val="00043902"/>
    <w:rsid w:val="0004498E"/>
    <w:rsid w:val="000656E3"/>
    <w:rsid w:val="00065DE0"/>
    <w:rsid w:val="00090208"/>
    <w:rsid w:val="000A40CC"/>
    <w:rsid w:val="000A659B"/>
    <w:rsid w:val="000B1BFF"/>
    <w:rsid w:val="000C4559"/>
    <w:rsid w:val="001026A6"/>
    <w:rsid w:val="00103613"/>
    <w:rsid w:val="001153B5"/>
    <w:rsid w:val="001170FB"/>
    <w:rsid w:val="001237C6"/>
    <w:rsid w:val="00123B75"/>
    <w:rsid w:val="001327D5"/>
    <w:rsid w:val="00146DD9"/>
    <w:rsid w:val="001538AC"/>
    <w:rsid w:val="001547AF"/>
    <w:rsid w:val="00156940"/>
    <w:rsid w:val="001569DA"/>
    <w:rsid w:val="0017407D"/>
    <w:rsid w:val="0017448E"/>
    <w:rsid w:val="00192E55"/>
    <w:rsid w:val="0019395D"/>
    <w:rsid w:val="00196FE4"/>
    <w:rsid w:val="001C7971"/>
    <w:rsid w:val="001F2B11"/>
    <w:rsid w:val="001F3044"/>
    <w:rsid w:val="00202508"/>
    <w:rsid w:val="0020767C"/>
    <w:rsid w:val="00207F36"/>
    <w:rsid w:val="002160A5"/>
    <w:rsid w:val="002248E2"/>
    <w:rsid w:val="0024769A"/>
    <w:rsid w:val="00250BC5"/>
    <w:rsid w:val="00255FEF"/>
    <w:rsid w:val="00266551"/>
    <w:rsid w:val="00270FA6"/>
    <w:rsid w:val="0028633C"/>
    <w:rsid w:val="00287C6D"/>
    <w:rsid w:val="00291177"/>
    <w:rsid w:val="002918F3"/>
    <w:rsid w:val="00297525"/>
    <w:rsid w:val="002B1AD3"/>
    <w:rsid w:val="002C1193"/>
    <w:rsid w:val="002C69F9"/>
    <w:rsid w:val="002C7CC5"/>
    <w:rsid w:val="002D4EF7"/>
    <w:rsid w:val="002E1B79"/>
    <w:rsid w:val="002E53C5"/>
    <w:rsid w:val="002E5C03"/>
    <w:rsid w:val="003004D0"/>
    <w:rsid w:val="0030786C"/>
    <w:rsid w:val="003126B5"/>
    <w:rsid w:val="00312E38"/>
    <w:rsid w:val="003160D3"/>
    <w:rsid w:val="003233EA"/>
    <w:rsid w:val="00330514"/>
    <w:rsid w:val="00334B82"/>
    <w:rsid w:val="003402FE"/>
    <w:rsid w:val="0034603A"/>
    <w:rsid w:val="00360569"/>
    <w:rsid w:val="00366DEA"/>
    <w:rsid w:val="0037010C"/>
    <w:rsid w:val="0038116C"/>
    <w:rsid w:val="00381B7B"/>
    <w:rsid w:val="00385EBD"/>
    <w:rsid w:val="0039241D"/>
    <w:rsid w:val="00393EA4"/>
    <w:rsid w:val="00397B5B"/>
    <w:rsid w:val="003A1EFB"/>
    <w:rsid w:val="003A508B"/>
    <w:rsid w:val="003A7D3F"/>
    <w:rsid w:val="003C48ED"/>
    <w:rsid w:val="003C4A9C"/>
    <w:rsid w:val="003C4F27"/>
    <w:rsid w:val="003D2A88"/>
    <w:rsid w:val="003E0675"/>
    <w:rsid w:val="003E719F"/>
    <w:rsid w:val="003F066F"/>
    <w:rsid w:val="003F506C"/>
    <w:rsid w:val="003F6041"/>
    <w:rsid w:val="0040785F"/>
    <w:rsid w:val="00413C44"/>
    <w:rsid w:val="00432140"/>
    <w:rsid w:val="004358C3"/>
    <w:rsid w:val="00446DF2"/>
    <w:rsid w:val="00447CCC"/>
    <w:rsid w:val="004817A6"/>
    <w:rsid w:val="00483BDF"/>
    <w:rsid w:val="004A1D32"/>
    <w:rsid w:val="004A7BF9"/>
    <w:rsid w:val="004B1265"/>
    <w:rsid w:val="004E56A5"/>
    <w:rsid w:val="004E6626"/>
    <w:rsid w:val="004F32B3"/>
    <w:rsid w:val="004F4EB5"/>
    <w:rsid w:val="004F7ABB"/>
    <w:rsid w:val="00510828"/>
    <w:rsid w:val="00536966"/>
    <w:rsid w:val="00537433"/>
    <w:rsid w:val="00543A4E"/>
    <w:rsid w:val="005471D9"/>
    <w:rsid w:val="005511A2"/>
    <w:rsid w:val="00560D12"/>
    <w:rsid w:val="005634A9"/>
    <w:rsid w:val="005646EB"/>
    <w:rsid w:val="0056508C"/>
    <w:rsid w:val="00567CC4"/>
    <w:rsid w:val="00570721"/>
    <w:rsid w:val="00570C6E"/>
    <w:rsid w:val="00570DD4"/>
    <w:rsid w:val="005721F0"/>
    <w:rsid w:val="00596A94"/>
    <w:rsid w:val="00596AF2"/>
    <w:rsid w:val="005B0F26"/>
    <w:rsid w:val="005E77DD"/>
    <w:rsid w:val="005E7C0D"/>
    <w:rsid w:val="005E7C48"/>
    <w:rsid w:val="005F0598"/>
    <w:rsid w:val="005F0F85"/>
    <w:rsid w:val="005F15FD"/>
    <w:rsid w:val="005F6FCA"/>
    <w:rsid w:val="00612914"/>
    <w:rsid w:val="006335B7"/>
    <w:rsid w:val="00635843"/>
    <w:rsid w:val="00642128"/>
    <w:rsid w:val="006607C0"/>
    <w:rsid w:val="00660D41"/>
    <w:rsid w:val="00671ABF"/>
    <w:rsid w:val="00672585"/>
    <w:rsid w:val="00674D42"/>
    <w:rsid w:val="00675F63"/>
    <w:rsid w:val="006874BC"/>
    <w:rsid w:val="00695349"/>
    <w:rsid w:val="006B1843"/>
    <w:rsid w:val="006B49CC"/>
    <w:rsid w:val="006D178B"/>
    <w:rsid w:val="006D53AF"/>
    <w:rsid w:val="006D601A"/>
    <w:rsid w:val="006D7F3B"/>
    <w:rsid w:val="006E2925"/>
    <w:rsid w:val="006F1959"/>
    <w:rsid w:val="006F431D"/>
    <w:rsid w:val="00700668"/>
    <w:rsid w:val="00706C9F"/>
    <w:rsid w:val="007109A0"/>
    <w:rsid w:val="007144B3"/>
    <w:rsid w:val="00726CE5"/>
    <w:rsid w:val="00727292"/>
    <w:rsid w:val="0073295C"/>
    <w:rsid w:val="00742A7E"/>
    <w:rsid w:val="00761B27"/>
    <w:rsid w:val="00764FEC"/>
    <w:rsid w:val="00765ACB"/>
    <w:rsid w:val="00774C69"/>
    <w:rsid w:val="007818A9"/>
    <w:rsid w:val="007A160C"/>
    <w:rsid w:val="007A32EA"/>
    <w:rsid w:val="007A48BE"/>
    <w:rsid w:val="007C3434"/>
    <w:rsid w:val="007C3749"/>
    <w:rsid w:val="007C53A3"/>
    <w:rsid w:val="007C6616"/>
    <w:rsid w:val="007D1055"/>
    <w:rsid w:val="007D64EE"/>
    <w:rsid w:val="007E6A83"/>
    <w:rsid w:val="007F2DEF"/>
    <w:rsid w:val="008057D1"/>
    <w:rsid w:val="00811B37"/>
    <w:rsid w:val="0081520A"/>
    <w:rsid w:val="00820E92"/>
    <w:rsid w:val="0082386A"/>
    <w:rsid w:val="008302D3"/>
    <w:rsid w:val="00847278"/>
    <w:rsid w:val="00875480"/>
    <w:rsid w:val="00877157"/>
    <w:rsid w:val="00877780"/>
    <w:rsid w:val="00877AA8"/>
    <w:rsid w:val="008800E2"/>
    <w:rsid w:val="00882DC2"/>
    <w:rsid w:val="00882DD4"/>
    <w:rsid w:val="00883AE8"/>
    <w:rsid w:val="008A7099"/>
    <w:rsid w:val="008B1FA8"/>
    <w:rsid w:val="008B2D9F"/>
    <w:rsid w:val="008B45E3"/>
    <w:rsid w:val="008C024D"/>
    <w:rsid w:val="00917A47"/>
    <w:rsid w:val="009274CC"/>
    <w:rsid w:val="00932D93"/>
    <w:rsid w:val="00945BAE"/>
    <w:rsid w:val="00950FAA"/>
    <w:rsid w:val="00963739"/>
    <w:rsid w:val="0096380A"/>
    <w:rsid w:val="00964E61"/>
    <w:rsid w:val="00975B9C"/>
    <w:rsid w:val="009762DB"/>
    <w:rsid w:val="00982528"/>
    <w:rsid w:val="009901D4"/>
    <w:rsid w:val="009A6195"/>
    <w:rsid w:val="009B22B0"/>
    <w:rsid w:val="009B30C0"/>
    <w:rsid w:val="009B3606"/>
    <w:rsid w:val="009B3E91"/>
    <w:rsid w:val="009B5608"/>
    <w:rsid w:val="009C1BEF"/>
    <w:rsid w:val="009D1CE7"/>
    <w:rsid w:val="009D48B7"/>
    <w:rsid w:val="009D537D"/>
    <w:rsid w:val="009E0D27"/>
    <w:rsid w:val="00A03422"/>
    <w:rsid w:val="00A124B5"/>
    <w:rsid w:val="00A23F3E"/>
    <w:rsid w:val="00A24726"/>
    <w:rsid w:val="00A31205"/>
    <w:rsid w:val="00A47D16"/>
    <w:rsid w:val="00A54E45"/>
    <w:rsid w:val="00A56718"/>
    <w:rsid w:val="00A90E99"/>
    <w:rsid w:val="00A91B77"/>
    <w:rsid w:val="00A93566"/>
    <w:rsid w:val="00A97AE0"/>
    <w:rsid w:val="00AB06F7"/>
    <w:rsid w:val="00AD3C48"/>
    <w:rsid w:val="00AE099F"/>
    <w:rsid w:val="00AF2CE1"/>
    <w:rsid w:val="00B02486"/>
    <w:rsid w:val="00B04584"/>
    <w:rsid w:val="00B243F8"/>
    <w:rsid w:val="00B27D7C"/>
    <w:rsid w:val="00B320A5"/>
    <w:rsid w:val="00B419D8"/>
    <w:rsid w:val="00B5130B"/>
    <w:rsid w:val="00B5194A"/>
    <w:rsid w:val="00B55BD0"/>
    <w:rsid w:val="00B57658"/>
    <w:rsid w:val="00BA1E68"/>
    <w:rsid w:val="00BA3B41"/>
    <w:rsid w:val="00BA46A5"/>
    <w:rsid w:val="00BC24E3"/>
    <w:rsid w:val="00BC7D42"/>
    <w:rsid w:val="00BE451E"/>
    <w:rsid w:val="00BF0175"/>
    <w:rsid w:val="00BF077F"/>
    <w:rsid w:val="00BF57FC"/>
    <w:rsid w:val="00C046F0"/>
    <w:rsid w:val="00C16D36"/>
    <w:rsid w:val="00C25686"/>
    <w:rsid w:val="00C267F4"/>
    <w:rsid w:val="00C279F8"/>
    <w:rsid w:val="00C329B3"/>
    <w:rsid w:val="00C32AF9"/>
    <w:rsid w:val="00C41965"/>
    <w:rsid w:val="00C46804"/>
    <w:rsid w:val="00C51ECB"/>
    <w:rsid w:val="00C554B1"/>
    <w:rsid w:val="00C67978"/>
    <w:rsid w:val="00C800AB"/>
    <w:rsid w:val="00C86097"/>
    <w:rsid w:val="00C917A1"/>
    <w:rsid w:val="00C9261D"/>
    <w:rsid w:val="00CA2D1D"/>
    <w:rsid w:val="00CA3E26"/>
    <w:rsid w:val="00CA5898"/>
    <w:rsid w:val="00CB264A"/>
    <w:rsid w:val="00CB2E88"/>
    <w:rsid w:val="00CD2066"/>
    <w:rsid w:val="00CD33E2"/>
    <w:rsid w:val="00CE5E3F"/>
    <w:rsid w:val="00CE75CD"/>
    <w:rsid w:val="00CF28C4"/>
    <w:rsid w:val="00CF2EC6"/>
    <w:rsid w:val="00D012C0"/>
    <w:rsid w:val="00D0727E"/>
    <w:rsid w:val="00D12F4F"/>
    <w:rsid w:val="00D1453A"/>
    <w:rsid w:val="00D15897"/>
    <w:rsid w:val="00D30BBB"/>
    <w:rsid w:val="00D41D2D"/>
    <w:rsid w:val="00D44BC5"/>
    <w:rsid w:val="00D45002"/>
    <w:rsid w:val="00D56702"/>
    <w:rsid w:val="00D60B03"/>
    <w:rsid w:val="00D67D38"/>
    <w:rsid w:val="00DA342F"/>
    <w:rsid w:val="00DA6C2C"/>
    <w:rsid w:val="00DB285A"/>
    <w:rsid w:val="00DB7C37"/>
    <w:rsid w:val="00DC0ADF"/>
    <w:rsid w:val="00DE3C49"/>
    <w:rsid w:val="00DF4876"/>
    <w:rsid w:val="00E06643"/>
    <w:rsid w:val="00E0777E"/>
    <w:rsid w:val="00E10D0A"/>
    <w:rsid w:val="00E2074F"/>
    <w:rsid w:val="00E371EB"/>
    <w:rsid w:val="00E43A7D"/>
    <w:rsid w:val="00E444D6"/>
    <w:rsid w:val="00E52212"/>
    <w:rsid w:val="00E62A56"/>
    <w:rsid w:val="00E63418"/>
    <w:rsid w:val="00E75A15"/>
    <w:rsid w:val="00E83085"/>
    <w:rsid w:val="00E831A5"/>
    <w:rsid w:val="00E9131F"/>
    <w:rsid w:val="00E93EAA"/>
    <w:rsid w:val="00E96F70"/>
    <w:rsid w:val="00EB1A32"/>
    <w:rsid w:val="00EC62F6"/>
    <w:rsid w:val="00EC755E"/>
    <w:rsid w:val="00ED2312"/>
    <w:rsid w:val="00EE39CC"/>
    <w:rsid w:val="00EF30B1"/>
    <w:rsid w:val="00EF7A4D"/>
    <w:rsid w:val="00F03866"/>
    <w:rsid w:val="00F1179C"/>
    <w:rsid w:val="00F11B77"/>
    <w:rsid w:val="00F1573C"/>
    <w:rsid w:val="00F166BD"/>
    <w:rsid w:val="00F41635"/>
    <w:rsid w:val="00F45651"/>
    <w:rsid w:val="00F572A2"/>
    <w:rsid w:val="00F6392F"/>
    <w:rsid w:val="00F667D9"/>
    <w:rsid w:val="00F7167A"/>
    <w:rsid w:val="00F87A01"/>
    <w:rsid w:val="00F93402"/>
    <w:rsid w:val="00FB3782"/>
    <w:rsid w:val="00FD3B64"/>
    <w:rsid w:val="00FE190E"/>
    <w:rsid w:val="00FE2143"/>
    <w:rsid w:val="00FE51C3"/>
    <w:rsid w:val="00FF3243"/>
    <w:rsid w:val="00FF6F9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0102"/>
  <w15:docId w15:val="{C8621A80-AD35-4E65-A955-59B53400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55FEF"/>
    <w:pPr>
      <w:ind w:left="720"/>
      <w:contextualSpacing/>
    </w:pPr>
    <w:rPr>
      <w:rFonts w:ascii="Calibri" w:eastAsia="Calibri" w:hAnsi="Calibri" w:cs="Times New Roman"/>
    </w:rPr>
  </w:style>
  <w:style w:type="paragraph" w:customStyle="1" w:styleId="Default">
    <w:name w:val="Default"/>
    <w:rsid w:val="00255FEF"/>
    <w:pPr>
      <w:autoSpaceDE w:val="0"/>
      <w:autoSpaceDN w:val="0"/>
      <w:adjustRightInd w:val="0"/>
      <w:spacing w:after="0" w:line="240" w:lineRule="auto"/>
    </w:pPr>
    <w:rPr>
      <w:rFonts w:ascii="Arial" w:hAnsi="Arial" w:cs="Arial"/>
      <w:color w:val="000000"/>
      <w:sz w:val="24"/>
      <w:szCs w:val="24"/>
    </w:rPr>
  </w:style>
  <w:style w:type="paragraph" w:customStyle="1" w:styleId="Outline">
    <w:name w:val="Outline"/>
    <w:basedOn w:val="Normal"/>
    <w:rsid w:val="00FD3B64"/>
    <w:pPr>
      <w:spacing w:before="240" w:after="0" w:line="240" w:lineRule="auto"/>
    </w:pPr>
    <w:rPr>
      <w:rFonts w:ascii="Times New Roman" w:eastAsia="Times New Roman" w:hAnsi="Times New Roman" w:cs="Times New Roman"/>
      <w:kern w:val="28"/>
      <w:sz w:val="24"/>
      <w:szCs w:val="20"/>
      <w:lang w:val="en-US"/>
    </w:rPr>
  </w:style>
  <w:style w:type="paragraph" w:styleId="Textodeglobo">
    <w:name w:val="Balloon Text"/>
    <w:basedOn w:val="Normal"/>
    <w:link w:val="TextodegloboCar"/>
    <w:uiPriority w:val="99"/>
    <w:semiHidden/>
    <w:unhideWhenUsed/>
    <w:rsid w:val="006874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4BC"/>
    <w:rPr>
      <w:rFonts w:ascii="Tahoma" w:hAnsi="Tahoma" w:cs="Tahoma"/>
      <w:sz w:val="16"/>
      <w:szCs w:val="16"/>
    </w:rPr>
  </w:style>
  <w:style w:type="paragraph" w:styleId="Sinespaciado">
    <w:name w:val="No Spacing"/>
    <w:uiPriority w:val="1"/>
    <w:qFormat/>
    <w:rsid w:val="009A6195"/>
    <w:pPr>
      <w:spacing w:after="0" w:line="240" w:lineRule="auto"/>
    </w:pPr>
  </w:style>
  <w:style w:type="character" w:customStyle="1" w:styleId="PrrafodelistaCar">
    <w:name w:val="Párrafo de lista Car"/>
    <w:link w:val="Prrafodelista"/>
    <w:uiPriority w:val="34"/>
    <w:rsid w:val="00EB1A32"/>
    <w:rPr>
      <w:rFonts w:ascii="Calibri" w:eastAsia="Calibri" w:hAnsi="Calibri" w:cs="Times New Roman"/>
    </w:rPr>
  </w:style>
  <w:style w:type="paragraph" w:styleId="Encabezado">
    <w:name w:val="header"/>
    <w:basedOn w:val="Normal"/>
    <w:link w:val="EncabezadoCar"/>
    <w:uiPriority w:val="99"/>
    <w:unhideWhenUsed/>
    <w:rsid w:val="00761B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1B27"/>
  </w:style>
  <w:style w:type="paragraph" w:styleId="Piedepgina">
    <w:name w:val="footer"/>
    <w:basedOn w:val="Normal"/>
    <w:link w:val="PiedepginaCar"/>
    <w:uiPriority w:val="99"/>
    <w:unhideWhenUsed/>
    <w:rsid w:val="00761B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1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9090">
      <w:bodyDiv w:val="1"/>
      <w:marLeft w:val="0"/>
      <w:marRight w:val="0"/>
      <w:marTop w:val="0"/>
      <w:marBottom w:val="0"/>
      <w:divBdr>
        <w:top w:val="none" w:sz="0" w:space="0" w:color="auto"/>
        <w:left w:val="none" w:sz="0" w:space="0" w:color="auto"/>
        <w:bottom w:val="none" w:sz="0" w:space="0" w:color="auto"/>
        <w:right w:val="none" w:sz="0" w:space="0" w:color="auto"/>
      </w:divBdr>
    </w:div>
    <w:div w:id="1049650494">
      <w:bodyDiv w:val="1"/>
      <w:marLeft w:val="0"/>
      <w:marRight w:val="0"/>
      <w:marTop w:val="0"/>
      <w:marBottom w:val="0"/>
      <w:divBdr>
        <w:top w:val="none" w:sz="0" w:space="0" w:color="auto"/>
        <w:left w:val="none" w:sz="0" w:space="0" w:color="auto"/>
        <w:bottom w:val="none" w:sz="0" w:space="0" w:color="auto"/>
        <w:right w:val="none" w:sz="0" w:space="0" w:color="auto"/>
      </w:divBdr>
    </w:div>
    <w:div w:id="1638145726">
      <w:bodyDiv w:val="1"/>
      <w:marLeft w:val="0"/>
      <w:marRight w:val="0"/>
      <w:marTop w:val="0"/>
      <w:marBottom w:val="0"/>
      <w:divBdr>
        <w:top w:val="none" w:sz="0" w:space="0" w:color="auto"/>
        <w:left w:val="none" w:sz="0" w:space="0" w:color="auto"/>
        <w:bottom w:val="none" w:sz="0" w:space="0" w:color="auto"/>
        <w:right w:val="none" w:sz="0" w:space="0" w:color="auto"/>
      </w:divBdr>
    </w:div>
    <w:div w:id="1831942486">
      <w:bodyDiv w:val="1"/>
      <w:marLeft w:val="0"/>
      <w:marRight w:val="0"/>
      <w:marTop w:val="0"/>
      <w:marBottom w:val="0"/>
      <w:divBdr>
        <w:top w:val="none" w:sz="0" w:space="0" w:color="auto"/>
        <w:left w:val="none" w:sz="0" w:space="0" w:color="auto"/>
        <w:bottom w:val="none" w:sz="0" w:space="0" w:color="auto"/>
        <w:right w:val="none" w:sz="0" w:space="0" w:color="auto"/>
      </w:divBdr>
    </w:div>
    <w:div w:id="2007630456">
      <w:bodyDiv w:val="1"/>
      <w:marLeft w:val="0"/>
      <w:marRight w:val="0"/>
      <w:marTop w:val="0"/>
      <w:marBottom w:val="0"/>
      <w:divBdr>
        <w:top w:val="none" w:sz="0" w:space="0" w:color="auto"/>
        <w:left w:val="none" w:sz="0" w:space="0" w:color="auto"/>
        <w:bottom w:val="none" w:sz="0" w:space="0" w:color="auto"/>
        <w:right w:val="none" w:sz="0" w:space="0" w:color="auto"/>
      </w:divBdr>
    </w:div>
    <w:div w:id="207796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5A91-5D9A-453A-A861-FF7FFF62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1599</Words>
  <Characters>8639</Characters>
  <Application>Microsoft Office Word</Application>
  <DocSecurity>0</DocSecurity>
  <Lines>187</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Quinteroj</dc:creator>
  <cp:lastModifiedBy>Ana Gertrudis Reyes</cp:lastModifiedBy>
  <cp:revision>11</cp:revision>
  <cp:lastPrinted>2022-10-20T15:11:00Z</cp:lastPrinted>
  <dcterms:created xsi:type="dcterms:W3CDTF">2026-04-07T16:21:00Z</dcterms:created>
  <dcterms:modified xsi:type="dcterms:W3CDTF">2026-04-14T22:04:00Z</dcterms:modified>
</cp:coreProperties>
</file>