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F4" w:rsidRPr="00517A7D" w:rsidRDefault="008373F4" w:rsidP="008373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8373F4" w:rsidRPr="00517A7D" w:rsidRDefault="008373F4" w:rsidP="008373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8373F4" w:rsidRPr="00517A7D" w:rsidRDefault="008373F4" w:rsidP="008373F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8373F4" w:rsidRPr="00517A7D" w:rsidRDefault="008373F4" w:rsidP="008373F4">
      <w:pPr>
        <w:pStyle w:val="Ttulo2"/>
        <w:rPr>
          <w:rFonts w:asciiTheme="minorHAnsi" w:hAnsiTheme="minorHAnsi"/>
          <w:sz w:val="22"/>
          <w:szCs w:val="22"/>
        </w:rPr>
      </w:pPr>
    </w:p>
    <w:p w:rsidR="008373F4" w:rsidRDefault="008373F4" w:rsidP="00BC637D">
      <w:pPr>
        <w:pStyle w:val="Ttulo2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ACTA DE </w:t>
      </w:r>
      <w:r>
        <w:rPr>
          <w:rFonts w:asciiTheme="minorHAnsi" w:hAnsiTheme="minorHAnsi"/>
          <w:sz w:val="22"/>
          <w:szCs w:val="22"/>
        </w:rPr>
        <w:t xml:space="preserve">APERTURA No. </w:t>
      </w:r>
      <w:r w:rsidR="008F3E9B">
        <w:rPr>
          <w:rFonts w:asciiTheme="minorHAnsi" w:hAnsiTheme="minorHAnsi"/>
          <w:sz w:val="22"/>
          <w:szCs w:val="22"/>
        </w:rPr>
        <w:t>LP-</w:t>
      </w:r>
      <w:r w:rsidR="00150E36">
        <w:rPr>
          <w:rFonts w:asciiTheme="minorHAnsi" w:hAnsiTheme="minorHAnsi"/>
          <w:sz w:val="22"/>
          <w:szCs w:val="22"/>
        </w:rPr>
        <w:t>05-2014</w:t>
      </w:r>
    </w:p>
    <w:p w:rsidR="00BC637D" w:rsidRPr="00BC637D" w:rsidRDefault="00BC637D" w:rsidP="00BC637D"/>
    <w:p w:rsidR="008373F4" w:rsidRPr="00517A7D" w:rsidRDefault="008373F4" w:rsidP="008373F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Reunidos los miembros que integran La Comisión de apertura de sobres de </w:t>
      </w:r>
      <w:r>
        <w:rPr>
          <w:rFonts w:asciiTheme="minorHAnsi" w:hAnsiTheme="minorHAnsi"/>
          <w:sz w:val="22"/>
          <w:szCs w:val="22"/>
        </w:rPr>
        <w:t>Cotizaciones</w:t>
      </w:r>
      <w:r w:rsidRPr="00517A7D">
        <w:rPr>
          <w:rFonts w:asciiTheme="minorHAnsi" w:hAnsiTheme="minorHAnsi"/>
          <w:sz w:val="22"/>
          <w:szCs w:val="22"/>
        </w:rPr>
        <w:t xml:space="preserve"> No. </w:t>
      </w:r>
      <w:r w:rsidR="00150E36">
        <w:rPr>
          <w:rFonts w:asciiTheme="minorHAnsi" w:hAnsiTheme="minorHAnsi"/>
          <w:sz w:val="22"/>
          <w:szCs w:val="22"/>
        </w:rPr>
        <w:t>LP-05-2014</w:t>
      </w:r>
      <w:r w:rsidRPr="00517A7D">
        <w:rPr>
          <w:rFonts w:asciiTheme="minorHAnsi" w:hAnsiTheme="minorHAnsi"/>
          <w:sz w:val="22"/>
          <w:szCs w:val="22"/>
        </w:rPr>
        <w:t xml:space="preserve">, de fecha </w:t>
      </w:r>
      <w:r w:rsidR="00150E36">
        <w:rPr>
          <w:rFonts w:asciiTheme="minorHAnsi" w:hAnsiTheme="minorHAnsi"/>
          <w:sz w:val="22"/>
          <w:szCs w:val="22"/>
        </w:rPr>
        <w:t>17 de Junio</w:t>
      </w:r>
      <w:r>
        <w:rPr>
          <w:rFonts w:asciiTheme="minorHAnsi" w:hAnsiTheme="minorHAnsi"/>
          <w:sz w:val="22"/>
          <w:szCs w:val="22"/>
        </w:rPr>
        <w:t xml:space="preserve"> </w:t>
      </w:r>
      <w:r w:rsidR="00150E36">
        <w:rPr>
          <w:rFonts w:asciiTheme="minorHAnsi" w:hAnsiTheme="minorHAnsi"/>
          <w:sz w:val="22"/>
          <w:szCs w:val="22"/>
        </w:rPr>
        <w:t>de 2014</w:t>
      </w:r>
      <w:r w:rsidRPr="00517A7D">
        <w:rPr>
          <w:rFonts w:asciiTheme="minorHAnsi" w:hAnsiTheme="minorHAnsi"/>
          <w:sz w:val="22"/>
          <w:szCs w:val="22"/>
        </w:rPr>
        <w:t xml:space="preserve"> por el </w:t>
      </w:r>
      <w:r>
        <w:rPr>
          <w:rFonts w:asciiTheme="minorHAnsi" w:hAnsiTheme="minorHAnsi"/>
          <w:sz w:val="22"/>
          <w:szCs w:val="22"/>
        </w:rPr>
        <w:t>D</w:t>
      </w:r>
      <w:r w:rsidRPr="00517A7D">
        <w:rPr>
          <w:rFonts w:asciiTheme="minorHAnsi" w:hAnsiTheme="minorHAnsi"/>
          <w:sz w:val="22"/>
          <w:szCs w:val="22"/>
        </w:rPr>
        <w:t>irector</w:t>
      </w:r>
      <w:r>
        <w:rPr>
          <w:rFonts w:asciiTheme="minorHAnsi" w:hAnsiTheme="minorHAnsi"/>
          <w:sz w:val="22"/>
          <w:szCs w:val="22"/>
        </w:rPr>
        <w:t>(a)</w:t>
      </w:r>
      <w:r w:rsidRPr="00517A7D">
        <w:rPr>
          <w:rFonts w:asciiTheme="minorHAnsi" w:hAnsiTheme="minorHAnsi"/>
          <w:sz w:val="22"/>
          <w:szCs w:val="22"/>
        </w:rPr>
        <w:t xml:space="preserve"> Regional Dr. </w:t>
      </w:r>
      <w:r w:rsidR="00150E36">
        <w:rPr>
          <w:rFonts w:asciiTheme="minorHAnsi" w:hAnsiTheme="minorHAnsi"/>
          <w:sz w:val="22"/>
          <w:szCs w:val="22"/>
        </w:rPr>
        <w:t xml:space="preserve">Javier Alberto Girón </w:t>
      </w:r>
      <w:bookmarkStart w:id="0" w:name="_GoBack"/>
      <w:bookmarkEnd w:id="0"/>
      <w:r w:rsidR="00BC637D">
        <w:rPr>
          <w:rFonts w:asciiTheme="minorHAnsi" w:hAnsiTheme="minorHAnsi"/>
          <w:sz w:val="22"/>
          <w:szCs w:val="22"/>
        </w:rPr>
        <w:t>Alfaro,</w:t>
      </w:r>
      <w:r w:rsidRPr="00517A7D">
        <w:rPr>
          <w:rFonts w:asciiTheme="minorHAnsi" w:hAnsiTheme="minorHAnsi"/>
          <w:sz w:val="22"/>
          <w:szCs w:val="22"/>
        </w:rPr>
        <w:t xml:space="preserve"> Presidente Comité de Adjudicación, por el </w:t>
      </w:r>
      <w:r w:rsidR="00150E36">
        <w:rPr>
          <w:rFonts w:asciiTheme="minorHAnsi" w:hAnsiTheme="minorHAnsi"/>
          <w:sz w:val="22"/>
          <w:szCs w:val="22"/>
        </w:rPr>
        <w:t>Departamento de Administración Abog</w:t>
      </w:r>
      <w:r>
        <w:rPr>
          <w:rFonts w:asciiTheme="minorHAnsi" w:hAnsiTheme="minorHAnsi"/>
          <w:sz w:val="22"/>
          <w:szCs w:val="22"/>
        </w:rPr>
        <w:t xml:space="preserve">. </w:t>
      </w:r>
      <w:r w:rsidR="00150E36">
        <w:rPr>
          <w:rFonts w:asciiTheme="minorHAnsi" w:hAnsiTheme="minorHAnsi"/>
          <w:sz w:val="22"/>
          <w:szCs w:val="22"/>
        </w:rPr>
        <w:t>Marisabel Fúnez Nájera</w:t>
      </w:r>
      <w:r w:rsidRPr="00517A7D">
        <w:rPr>
          <w:rFonts w:asciiTheme="minorHAnsi" w:hAnsiTheme="minorHAnsi"/>
          <w:sz w:val="22"/>
          <w:szCs w:val="22"/>
        </w:rPr>
        <w:t>, Administrador</w:t>
      </w:r>
      <w:r w:rsidR="00150E36">
        <w:rPr>
          <w:rFonts w:asciiTheme="minorHAnsi" w:hAnsiTheme="minorHAnsi"/>
          <w:sz w:val="22"/>
          <w:szCs w:val="22"/>
        </w:rPr>
        <w:t>a</w:t>
      </w:r>
      <w:r w:rsidRPr="00517A7D">
        <w:rPr>
          <w:rFonts w:asciiTheme="minorHAnsi" w:hAnsiTheme="minorHAnsi"/>
          <w:sz w:val="22"/>
          <w:szCs w:val="22"/>
        </w:rPr>
        <w:t xml:space="preserve"> Regional, </w:t>
      </w:r>
      <w:r w:rsidR="00150E36">
        <w:rPr>
          <w:rFonts w:asciiTheme="minorHAnsi" w:hAnsiTheme="minorHAnsi"/>
          <w:sz w:val="22"/>
          <w:szCs w:val="22"/>
        </w:rPr>
        <w:t xml:space="preserve">Yamil Romero, Representante de </w:t>
      </w:r>
      <w:r w:rsidR="004047A6">
        <w:rPr>
          <w:rFonts w:asciiTheme="minorHAnsi" w:hAnsiTheme="minorHAnsi"/>
          <w:sz w:val="22"/>
          <w:szCs w:val="22"/>
        </w:rPr>
        <w:t>Almacén</w:t>
      </w:r>
      <w:r w:rsidR="00150E36">
        <w:rPr>
          <w:rFonts w:asciiTheme="minorHAnsi" w:hAnsiTheme="minorHAnsi"/>
          <w:sz w:val="22"/>
          <w:szCs w:val="22"/>
        </w:rPr>
        <w:t xml:space="preserve"> Regional,</w:t>
      </w:r>
      <w:r w:rsidR="004047A6">
        <w:rPr>
          <w:rFonts w:asciiTheme="minorHAnsi" w:hAnsiTheme="minorHAnsi"/>
          <w:sz w:val="22"/>
          <w:szCs w:val="22"/>
        </w:rPr>
        <w:t xml:space="preserve"> Edwin Marín Castellanos, Representante de Bienes Nacionales, Lic. Aura Ninfa Ferrera Santos, Representante de Vigilancia de la Salud, </w:t>
      </w:r>
      <w:r w:rsidR="00150E36">
        <w:rPr>
          <w:rFonts w:asciiTheme="minorHAnsi" w:hAnsiTheme="minorHAnsi"/>
          <w:sz w:val="22"/>
          <w:szCs w:val="22"/>
        </w:rPr>
        <w:t xml:space="preserve"> </w:t>
      </w:r>
      <w:r w:rsidRPr="00517A7D">
        <w:rPr>
          <w:rFonts w:asciiTheme="minorHAnsi" w:hAnsiTheme="minorHAnsi"/>
          <w:sz w:val="22"/>
          <w:szCs w:val="22"/>
        </w:rPr>
        <w:t xml:space="preserve">por el Depto. De Compras, P.M. </w:t>
      </w:r>
      <w:r w:rsidR="004047A6">
        <w:rPr>
          <w:rFonts w:asciiTheme="minorHAnsi" w:hAnsiTheme="minorHAnsi"/>
          <w:sz w:val="22"/>
          <w:szCs w:val="22"/>
        </w:rPr>
        <w:t>Armando Argueta Ramos</w:t>
      </w:r>
      <w:r w:rsidRPr="00517A7D">
        <w:rPr>
          <w:rFonts w:asciiTheme="minorHAnsi" w:hAnsiTheme="minorHAnsi"/>
          <w:sz w:val="22"/>
          <w:szCs w:val="22"/>
        </w:rPr>
        <w:t>.</w:t>
      </w:r>
    </w:p>
    <w:p w:rsidR="008373F4" w:rsidRPr="00517A7D" w:rsidRDefault="008373F4" w:rsidP="008373F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Se contó con la participación de  </w:t>
      </w:r>
      <w:r w:rsidR="008F3E9B">
        <w:rPr>
          <w:rFonts w:asciiTheme="minorHAnsi" w:hAnsiTheme="minorHAnsi"/>
          <w:sz w:val="22"/>
          <w:szCs w:val="22"/>
        </w:rPr>
        <w:t>5</w:t>
      </w:r>
      <w:r w:rsidRPr="00517A7D">
        <w:rPr>
          <w:rFonts w:asciiTheme="minorHAnsi" w:hAnsiTheme="minorHAnsi"/>
          <w:sz w:val="22"/>
          <w:szCs w:val="22"/>
        </w:rPr>
        <w:t xml:space="preserve"> casas comerciales descritas así:</w:t>
      </w:r>
    </w:p>
    <w:p w:rsidR="008F3E9B" w:rsidRPr="00B0782D" w:rsidRDefault="004047A6" w:rsidP="008F3E9B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DISTRIBUCIONES MEDICAS S. DE R.L. DE C.V.</w:t>
      </w:r>
    </w:p>
    <w:p w:rsidR="008373F4" w:rsidRDefault="004047A6" w:rsidP="008373F4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ALPHA ROHI S. DE R.L. DE C.V.</w:t>
      </w:r>
    </w:p>
    <w:p w:rsidR="004047A6" w:rsidRDefault="004047A6" w:rsidP="008373F4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Y DISTRIBUCIONES M.E.</w:t>
      </w:r>
    </w:p>
    <w:p w:rsidR="004047A6" w:rsidRDefault="004047A6" w:rsidP="008373F4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ELIM PHARMA S. DE R.L. DE C.V.</w:t>
      </w:r>
    </w:p>
    <w:p w:rsidR="004047A6" w:rsidRDefault="004047A6" w:rsidP="008373F4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MARCAS Y SUMINISTROS S. DE R.L. DE C.V.</w:t>
      </w:r>
    </w:p>
    <w:p w:rsidR="008373F4" w:rsidRPr="00517A7D" w:rsidRDefault="008373F4" w:rsidP="008373F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Posteriormente se dio inicio a la apertura y análisis de las ofertas quedando calificada la siguiente:</w:t>
      </w:r>
    </w:p>
    <w:p w:rsidR="008373F4" w:rsidRPr="00FC0473" w:rsidRDefault="004047A6" w:rsidP="00FC0473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DISTRIBUCIONES MEDICAS S. DE R.L. DE C.V.</w:t>
      </w:r>
    </w:p>
    <w:p w:rsidR="008373F4" w:rsidRDefault="008373F4" w:rsidP="008373F4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Se descalificaron las ofertas de:</w:t>
      </w:r>
    </w:p>
    <w:p w:rsidR="008373F4" w:rsidRPr="00517A7D" w:rsidRDefault="008373F4" w:rsidP="008373F4">
      <w:pPr>
        <w:jc w:val="both"/>
        <w:rPr>
          <w:rFonts w:asciiTheme="minorHAnsi" w:hAnsiTheme="minorHAnsi"/>
          <w:sz w:val="22"/>
          <w:szCs w:val="22"/>
          <w:lang w:val="es-HN"/>
        </w:rPr>
      </w:pPr>
    </w:p>
    <w:p w:rsidR="004047A6" w:rsidRDefault="004047A6" w:rsidP="004047A6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ALPHA ROHI S. DE R.L. DE C.V.</w:t>
      </w:r>
    </w:p>
    <w:p w:rsidR="004047A6" w:rsidRDefault="004047A6" w:rsidP="004047A6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Y DISTRIBUCIONES M.E.</w:t>
      </w:r>
    </w:p>
    <w:p w:rsidR="004047A6" w:rsidRDefault="004047A6" w:rsidP="004047A6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ELIM PHARMA S. DE R.L. DE C.V.</w:t>
      </w:r>
    </w:p>
    <w:p w:rsidR="004047A6" w:rsidRDefault="004047A6" w:rsidP="004047A6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MARCAS Y SUMINISTROS S. DE R.L. DE C.V.</w:t>
      </w:r>
    </w:p>
    <w:p w:rsidR="008373F4" w:rsidRPr="00BC637D" w:rsidRDefault="008373F4" w:rsidP="00BC637D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szCs w:val="18"/>
        </w:rPr>
        <w:t xml:space="preserve">Precios muy altos. </w:t>
      </w:r>
      <w:r w:rsidRPr="008F3E9B">
        <w:rPr>
          <w:rFonts w:ascii="Tahoma" w:hAnsi="Tahoma" w:cs="Tahoma"/>
          <w:b/>
          <w:szCs w:val="18"/>
        </w:rPr>
        <w:tab/>
        <w:t>X</w:t>
      </w:r>
    </w:p>
    <w:p w:rsidR="008373F4" w:rsidRPr="00517A7D" w:rsidRDefault="008373F4" w:rsidP="008373F4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Leída y analizada la última oferta se procedió a dar por cerrado el proceso de apertura en la ciudad de Trujillo, Colon siendo las 02:00 P.M. y para los fines legales y administrativos firmamos la presente a los </w:t>
      </w:r>
      <w:r w:rsidR="004047A6">
        <w:rPr>
          <w:rFonts w:asciiTheme="minorHAnsi" w:hAnsiTheme="minorHAnsi"/>
          <w:sz w:val="22"/>
          <w:szCs w:val="22"/>
          <w:lang w:val="es-HN"/>
        </w:rPr>
        <w:t>17</w:t>
      </w:r>
      <w:r w:rsidRPr="00517A7D">
        <w:rPr>
          <w:rFonts w:asciiTheme="minorHAnsi" w:hAnsiTheme="minorHAnsi"/>
          <w:sz w:val="22"/>
          <w:szCs w:val="22"/>
          <w:lang w:val="es-HN"/>
        </w:rPr>
        <w:t xml:space="preserve"> días del mes de </w:t>
      </w:r>
      <w:r w:rsidR="004047A6">
        <w:rPr>
          <w:rFonts w:asciiTheme="minorHAnsi" w:hAnsiTheme="minorHAnsi"/>
          <w:sz w:val="22"/>
          <w:szCs w:val="22"/>
          <w:lang w:val="es-HN"/>
        </w:rPr>
        <w:t>junio  de 2014</w:t>
      </w:r>
      <w:r>
        <w:rPr>
          <w:rFonts w:asciiTheme="minorHAnsi" w:hAnsiTheme="minorHAnsi"/>
          <w:sz w:val="22"/>
          <w:szCs w:val="22"/>
          <w:lang w:val="es-HN"/>
        </w:rPr>
        <w:t>.</w:t>
      </w:r>
    </w:p>
    <w:p w:rsidR="008373F4" w:rsidRPr="00517A7D" w:rsidRDefault="008373F4" w:rsidP="008373F4">
      <w:pPr>
        <w:rPr>
          <w:rFonts w:asciiTheme="minorHAnsi" w:hAnsiTheme="minorHAnsi"/>
          <w:sz w:val="22"/>
          <w:szCs w:val="22"/>
          <w:lang w:val="es-HN"/>
        </w:rPr>
      </w:pPr>
    </w:p>
    <w:p w:rsidR="008373F4" w:rsidRPr="00517A7D" w:rsidRDefault="008373F4" w:rsidP="008373F4">
      <w:pPr>
        <w:rPr>
          <w:rFonts w:asciiTheme="minorHAnsi" w:hAnsiTheme="minorHAnsi"/>
          <w:sz w:val="22"/>
          <w:szCs w:val="22"/>
          <w:lang w:val="es-HN"/>
        </w:rPr>
      </w:pPr>
    </w:p>
    <w:p w:rsidR="008373F4" w:rsidRPr="00517A7D" w:rsidRDefault="008373F4" w:rsidP="008373F4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 w:rsidR="00FC0473"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8373F4" w:rsidRPr="00517A7D" w:rsidRDefault="008373F4" w:rsidP="008373F4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>Director Región Deptal. De Colon                                 Admón. Región Deptal. De Colon</w:t>
      </w:r>
    </w:p>
    <w:p w:rsidR="008373F4" w:rsidRPr="00517A7D" w:rsidRDefault="008373F4" w:rsidP="008373F4">
      <w:pPr>
        <w:rPr>
          <w:rFonts w:asciiTheme="minorHAnsi" w:hAnsiTheme="minorHAnsi"/>
          <w:sz w:val="22"/>
          <w:szCs w:val="22"/>
        </w:rPr>
      </w:pPr>
    </w:p>
    <w:p w:rsidR="008373F4" w:rsidRPr="00517A7D" w:rsidRDefault="008373F4" w:rsidP="008373F4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8373F4" w:rsidRDefault="008373F4" w:rsidP="008373F4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FC0473" w:rsidRDefault="00FC0473" w:rsidP="008373F4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FC0473" w:rsidRDefault="00FC0473" w:rsidP="008373F4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FC0473" w:rsidRPr="00517A7D" w:rsidRDefault="00FC0473" w:rsidP="00FC0473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8373F4" w:rsidRPr="00BC637D" w:rsidRDefault="00FC0473" w:rsidP="00BC637D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8373F4" w:rsidRDefault="008373F4" w:rsidP="0028193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373F4" w:rsidRDefault="008373F4" w:rsidP="0028193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8373F4" w:rsidSect="00517A7D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4B" w:rsidRDefault="00220B4B" w:rsidP="00D833DC">
      <w:r>
        <w:separator/>
      </w:r>
    </w:p>
  </w:endnote>
  <w:endnote w:type="continuationSeparator" w:id="0">
    <w:p w:rsidR="00220B4B" w:rsidRDefault="00220B4B" w:rsidP="00D8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4B" w:rsidRDefault="00220B4B" w:rsidP="00D833DC">
      <w:r>
        <w:separator/>
      </w:r>
    </w:p>
  </w:footnote>
  <w:footnote w:type="continuationSeparator" w:id="0">
    <w:p w:rsidR="00220B4B" w:rsidRDefault="00220B4B" w:rsidP="00D8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4F"/>
    <w:rsid w:val="0003474F"/>
    <w:rsid w:val="00063DDB"/>
    <w:rsid w:val="00064A5C"/>
    <w:rsid w:val="0009604D"/>
    <w:rsid w:val="000F1852"/>
    <w:rsid w:val="0012389A"/>
    <w:rsid w:val="00150E36"/>
    <w:rsid w:val="00162E02"/>
    <w:rsid w:val="00187C62"/>
    <w:rsid w:val="001A6966"/>
    <w:rsid w:val="00214EA9"/>
    <w:rsid w:val="00220B4B"/>
    <w:rsid w:val="00246C6F"/>
    <w:rsid w:val="002734B7"/>
    <w:rsid w:val="00281931"/>
    <w:rsid w:val="00284671"/>
    <w:rsid w:val="002949B4"/>
    <w:rsid w:val="002D28FD"/>
    <w:rsid w:val="002E08EF"/>
    <w:rsid w:val="003139FF"/>
    <w:rsid w:val="00334B39"/>
    <w:rsid w:val="00336765"/>
    <w:rsid w:val="00336F0B"/>
    <w:rsid w:val="00352126"/>
    <w:rsid w:val="0036118C"/>
    <w:rsid w:val="00365264"/>
    <w:rsid w:val="0037020E"/>
    <w:rsid w:val="00381ADA"/>
    <w:rsid w:val="00391BE6"/>
    <w:rsid w:val="00395876"/>
    <w:rsid w:val="003A43DF"/>
    <w:rsid w:val="003A4D3D"/>
    <w:rsid w:val="003B06FD"/>
    <w:rsid w:val="003E2265"/>
    <w:rsid w:val="003F38F6"/>
    <w:rsid w:val="004018BC"/>
    <w:rsid w:val="004047A6"/>
    <w:rsid w:val="00414384"/>
    <w:rsid w:val="004602EA"/>
    <w:rsid w:val="004651C9"/>
    <w:rsid w:val="00474BAE"/>
    <w:rsid w:val="004829FA"/>
    <w:rsid w:val="004A3D7C"/>
    <w:rsid w:val="004E2811"/>
    <w:rsid w:val="00517A7D"/>
    <w:rsid w:val="005411C6"/>
    <w:rsid w:val="005A466C"/>
    <w:rsid w:val="005E14EF"/>
    <w:rsid w:val="00604D8C"/>
    <w:rsid w:val="006141B7"/>
    <w:rsid w:val="006359A5"/>
    <w:rsid w:val="00655640"/>
    <w:rsid w:val="00662E42"/>
    <w:rsid w:val="006A174C"/>
    <w:rsid w:val="006A1B3C"/>
    <w:rsid w:val="006B5140"/>
    <w:rsid w:val="006C26D0"/>
    <w:rsid w:val="006D25E7"/>
    <w:rsid w:val="00736E50"/>
    <w:rsid w:val="007440A7"/>
    <w:rsid w:val="00776F73"/>
    <w:rsid w:val="007862B4"/>
    <w:rsid w:val="00795E40"/>
    <w:rsid w:val="007B2E50"/>
    <w:rsid w:val="007C4501"/>
    <w:rsid w:val="007F1E4F"/>
    <w:rsid w:val="007F7A53"/>
    <w:rsid w:val="00805742"/>
    <w:rsid w:val="008143F3"/>
    <w:rsid w:val="00822AC5"/>
    <w:rsid w:val="008373F4"/>
    <w:rsid w:val="0084550D"/>
    <w:rsid w:val="00851437"/>
    <w:rsid w:val="00852A48"/>
    <w:rsid w:val="00874BAC"/>
    <w:rsid w:val="0089258D"/>
    <w:rsid w:val="008F3E9B"/>
    <w:rsid w:val="008F5049"/>
    <w:rsid w:val="009257FB"/>
    <w:rsid w:val="0094050E"/>
    <w:rsid w:val="0094380B"/>
    <w:rsid w:val="009450AD"/>
    <w:rsid w:val="0094565B"/>
    <w:rsid w:val="00946658"/>
    <w:rsid w:val="00976603"/>
    <w:rsid w:val="00981BE5"/>
    <w:rsid w:val="009C2FF2"/>
    <w:rsid w:val="009E1D93"/>
    <w:rsid w:val="00A125F7"/>
    <w:rsid w:val="00A251FD"/>
    <w:rsid w:val="00A36AA5"/>
    <w:rsid w:val="00A429B5"/>
    <w:rsid w:val="00A8535F"/>
    <w:rsid w:val="00A85EF4"/>
    <w:rsid w:val="00AC716D"/>
    <w:rsid w:val="00AF1F7B"/>
    <w:rsid w:val="00B0122E"/>
    <w:rsid w:val="00B32F7D"/>
    <w:rsid w:val="00B37F78"/>
    <w:rsid w:val="00B61590"/>
    <w:rsid w:val="00B848DE"/>
    <w:rsid w:val="00BA7A63"/>
    <w:rsid w:val="00BB35B3"/>
    <w:rsid w:val="00BC637D"/>
    <w:rsid w:val="00BD1AF1"/>
    <w:rsid w:val="00BD73A7"/>
    <w:rsid w:val="00BE096D"/>
    <w:rsid w:val="00BE4C1A"/>
    <w:rsid w:val="00BE773F"/>
    <w:rsid w:val="00C04BAE"/>
    <w:rsid w:val="00C25ED1"/>
    <w:rsid w:val="00C42E91"/>
    <w:rsid w:val="00C56F01"/>
    <w:rsid w:val="00C76020"/>
    <w:rsid w:val="00C84051"/>
    <w:rsid w:val="00CD4F8A"/>
    <w:rsid w:val="00D077D6"/>
    <w:rsid w:val="00D2116E"/>
    <w:rsid w:val="00D27343"/>
    <w:rsid w:val="00D35676"/>
    <w:rsid w:val="00D55166"/>
    <w:rsid w:val="00D67096"/>
    <w:rsid w:val="00D76E98"/>
    <w:rsid w:val="00D833DC"/>
    <w:rsid w:val="00DB0C49"/>
    <w:rsid w:val="00DD41A9"/>
    <w:rsid w:val="00E33F8F"/>
    <w:rsid w:val="00E44054"/>
    <w:rsid w:val="00E50F49"/>
    <w:rsid w:val="00E57A5A"/>
    <w:rsid w:val="00E879B3"/>
    <w:rsid w:val="00E96760"/>
    <w:rsid w:val="00EA5749"/>
    <w:rsid w:val="00EB697E"/>
    <w:rsid w:val="00ED340B"/>
    <w:rsid w:val="00F11BFC"/>
    <w:rsid w:val="00F27DD2"/>
    <w:rsid w:val="00F41A3D"/>
    <w:rsid w:val="00F5086C"/>
    <w:rsid w:val="00F66A65"/>
    <w:rsid w:val="00F72A83"/>
    <w:rsid w:val="00F775B0"/>
    <w:rsid w:val="00F90DAD"/>
    <w:rsid w:val="00FA3095"/>
    <w:rsid w:val="00FC0473"/>
    <w:rsid w:val="00FD2FF2"/>
    <w:rsid w:val="00FD4F7A"/>
    <w:rsid w:val="00FE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C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C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1B29-5DD4-45C3-B78E-B487A826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cvelasquez</dc:creator>
  <cp:lastModifiedBy>direccion2</cp:lastModifiedBy>
  <cp:revision>2</cp:revision>
  <cp:lastPrinted>2013-11-21T19:52:00Z</cp:lastPrinted>
  <dcterms:created xsi:type="dcterms:W3CDTF">2014-06-19T20:11:00Z</dcterms:created>
  <dcterms:modified xsi:type="dcterms:W3CDTF">2014-06-19T20:11:00Z</dcterms:modified>
</cp:coreProperties>
</file>