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D06083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Default="00D71B52" w:rsidP="00D71B52">
      <w:pPr>
        <w:rPr>
          <w:lang w:val="en-US"/>
        </w:rPr>
      </w:pPr>
    </w:p>
    <w:p w:rsidR="00BE3BC9" w:rsidRDefault="00BE3BC9" w:rsidP="00D71B52">
      <w:pPr>
        <w:rPr>
          <w:lang w:val="en-US"/>
        </w:rPr>
      </w:pPr>
    </w:p>
    <w:p w:rsidR="00E041E7" w:rsidRPr="000B3859" w:rsidRDefault="00E041E7" w:rsidP="00D71B52">
      <w:pPr>
        <w:rPr>
          <w:lang w:val="en-US"/>
        </w:rPr>
      </w:pPr>
    </w:p>
    <w:p w:rsidR="00D71B52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C41331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</w:t>
      </w:r>
      <w:r w:rsidR="00757F07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3</w:t>
      </w:r>
    </w:p>
    <w:p w:rsidR="00E041E7" w:rsidRPr="00BE3BC9" w:rsidRDefault="00E041E7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04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CONSTRUCCION EDIFICIO ADMINISTRATIVO DEL CENTRO UNIVERSITARIO REGIONAL DE LA CEIBA </w:t>
      </w:r>
      <w:r w:rsidR="00AF6E13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DE LA UNIVERSIDAD PEDAGOGICA NACIONAL FRANCISCO MORAZAN</w:t>
      </w: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C914AE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C914AE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Los centros de carga será TRIFÁSICOS.</w:t>
      </w: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Los alimentadores serán TRIFÁSICOS.</w:t>
      </w: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 xml:space="preserve">La </w:t>
      </w:r>
      <w:proofErr w:type="spellStart"/>
      <w:r>
        <w:rPr>
          <w:rFonts w:ascii="Albertus" w:hAnsi="Albertus" w:cs="Arial"/>
          <w:sz w:val="22"/>
          <w:szCs w:val="22"/>
          <w:lang w:val="es-MX"/>
        </w:rPr>
        <w:t>ductería</w:t>
      </w:r>
      <w:proofErr w:type="spellEnd"/>
      <w:r>
        <w:rPr>
          <w:rFonts w:ascii="Albertus" w:hAnsi="Albertus" w:cs="Arial"/>
          <w:sz w:val="22"/>
          <w:szCs w:val="22"/>
          <w:lang w:val="es-MX"/>
        </w:rPr>
        <w:t xml:space="preserve"> será EMT y PVC cedula 40 (tubería superficial EMT, tubería empotrada o enterrada, PVC cedula 40). Ver formulario de cantidades de obra y ver plano diagrama unifilar en cuadro de sub alimentadores.</w:t>
      </w: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Es correcto el acero de temperatura de la losa es en un solo sentido.</w:t>
      </w: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En el plano estructural ES 06 se observa el detalle “cubo de escaleras” del cual se puede calcular el armado del descanso de gradas y rampa de gradas (la rampa de gradas incluye la losa inclinada, las huellas de 30 cm y contrahuellas de 15 cm)</w:t>
      </w: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El aluminio en las ventanas será  “Tipo pesado”.</w:t>
      </w:r>
    </w:p>
    <w:p w:rsidR="00E041E7" w:rsidRDefault="00E041E7" w:rsidP="00E041E7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La pintura será acrílica conforme lo detallado en la adenda anterior y las Especificaciones Técnicas; en dicho costo se deberá de incluir una mano de sellador.</w:t>
      </w:r>
    </w:p>
    <w:p w:rsidR="00E041E7" w:rsidRPr="002B3E3E" w:rsidRDefault="00E041E7" w:rsidP="00E041E7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 w:rsidRPr="002B3E3E">
        <w:rPr>
          <w:rFonts w:ascii="Albertus" w:hAnsi="Albertus" w:cs="Arial"/>
          <w:sz w:val="22"/>
          <w:szCs w:val="22"/>
          <w:lang w:val="es-MX"/>
        </w:rPr>
        <w:t>Los esquineros metálicos se colocarán en las esquinas de paredes que se forren con cerámica únicamente.</w:t>
      </w:r>
    </w:p>
    <w:p w:rsidR="00E041E7" w:rsidRPr="002B3E3E" w:rsidRDefault="00E041E7" w:rsidP="00E041E7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Todas las columnas vistas a fundir deberán de tener en sus esquinas rematadas con  ¼ bocel.</w:t>
      </w:r>
    </w:p>
    <w:p w:rsidR="00E041E7" w:rsidRPr="002B3E3E" w:rsidRDefault="00E041E7" w:rsidP="00E041E7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Todo ladrillo visto será ladrillo planchado.</w:t>
      </w:r>
    </w:p>
    <w:p w:rsidR="00E041E7" w:rsidRPr="00E041E7" w:rsidRDefault="00E041E7" w:rsidP="00E041E7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E041E7" w:rsidRPr="00757F07" w:rsidRDefault="00757F07" w:rsidP="00757F07">
      <w:pPr>
        <w:widowControl/>
        <w:tabs>
          <w:tab w:val="left" w:pos="5940"/>
        </w:tabs>
        <w:autoSpaceDE/>
        <w:autoSpaceDN/>
        <w:adjustRightInd/>
        <w:jc w:val="both"/>
        <w:rPr>
          <w:rFonts w:ascii="CG Omega" w:hAnsi="CG Omega" w:cs="Arial"/>
          <w:sz w:val="22"/>
          <w:szCs w:val="22"/>
          <w:lang w:val="es-MX"/>
        </w:rPr>
      </w:pPr>
      <w:r w:rsidRPr="00757F07">
        <w:rPr>
          <w:rFonts w:ascii="CG Omega" w:hAnsi="CG Omega" w:cs="Arial"/>
          <w:sz w:val="22"/>
          <w:szCs w:val="22"/>
          <w:lang w:val="es-MX"/>
        </w:rPr>
        <w:lastRenderedPageBreak/>
        <w:t xml:space="preserve">…Página No. 2.- </w:t>
      </w:r>
      <w:proofErr w:type="spellStart"/>
      <w:r w:rsidRPr="00757F07">
        <w:rPr>
          <w:rFonts w:ascii="CG Omega" w:hAnsi="CG Omega" w:cs="Arial"/>
          <w:sz w:val="22"/>
          <w:szCs w:val="22"/>
          <w:lang w:val="es-MX"/>
        </w:rPr>
        <w:t>Adendum</w:t>
      </w:r>
      <w:proofErr w:type="spellEnd"/>
      <w:r w:rsidRPr="00757F07">
        <w:rPr>
          <w:rFonts w:ascii="CG Omega" w:hAnsi="CG Omega" w:cs="Arial"/>
          <w:sz w:val="22"/>
          <w:szCs w:val="22"/>
          <w:lang w:val="es-MX"/>
        </w:rPr>
        <w:t xml:space="preserve"> No. 3 LPU-004-2012.</w:t>
      </w:r>
      <w:r w:rsidRPr="00757F07">
        <w:rPr>
          <w:rFonts w:ascii="CG Omega" w:hAnsi="CG Omega" w:cs="Arial"/>
          <w:sz w:val="22"/>
          <w:szCs w:val="22"/>
          <w:lang w:val="es-MX"/>
        </w:rPr>
        <w:tab/>
      </w:r>
    </w:p>
    <w:p w:rsidR="00757F07" w:rsidRDefault="00757F0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757F07" w:rsidRDefault="00757F0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757F07" w:rsidRDefault="00757F0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E041E7" w:rsidRPr="00E041E7" w:rsidRDefault="00E041E7" w:rsidP="00E041E7">
      <w:pPr>
        <w:widowControl/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</w:p>
    <w:p w:rsidR="00E041E7" w:rsidRPr="002B3E3E" w:rsidRDefault="00E041E7" w:rsidP="00E041E7">
      <w:pPr>
        <w:pStyle w:val="Prrafodelista"/>
        <w:rPr>
          <w:rFonts w:ascii="Albertus" w:hAnsi="Albertus" w:cs="Arial"/>
          <w:sz w:val="22"/>
          <w:szCs w:val="22"/>
          <w:lang w:val="es-MX"/>
        </w:rPr>
      </w:pPr>
    </w:p>
    <w:p w:rsidR="00E041E7" w:rsidRDefault="00E041E7" w:rsidP="00E041E7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Albertus" w:hAnsi="Albertus" w:cs="Arial"/>
          <w:sz w:val="22"/>
          <w:szCs w:val="22"/>
          <w:lang w:val="es-MX"/>
        </w:rPr>
      </w:pPr>
      <w:r>
        <w:rPr>
          <w:rFonts w:ascii="Albertus" w:hAnsi="Albertus" w:cs="Arial"/>
          <w:sz w:val="22"/>
          <w:szCs w:val="22"/>
          <w:lang w:val="es-MX"/>
        </w:rPr>
        <w:t>La entrega de las Ofertas será en el Departamento Legal del Campus Central en Tegucigalpa.</w:t>
      </w:r>
    </w:p>
    <w:p w:rsidR="00E45E82" w:rsidRDefault="00E45E82" w:rsidP="00E45E82">
      <w:pPr>
        <w:jc w:val="both"/>
        <w:rPr>
          <w:rFonts w:ascii="CG Omega" w:hAnsi="CG Omega"/>
          <w:sz w:val="24"/>
          <w:szCs w:val="24"/>
          <w:lang w:val="es-MX"/>
        </w:rPr>
      </w:pPr>
    </w:p>
    <w:p w:rsidR="00757F07" w:rsidRDefault="00757F07" w:rsidP="00E45E82">
      <w:pPr>
        <w:jc w:val="both"/>
        <w:rPr>
          <w:rFonts w:ascii="CG Omega" w:hAnsi="CG Omega"/>
          <w:sz w:val="24"/>
          <w:szCs w:val="24"/>
          <w:lang w:val="es-MX"/>
        </w:rPr>
      </w:pPr>
    </w:p>
    <w:p w:rsidR="00757F07" w:rsidRPr="00E041E7" w:rsidRDefault="00757F07" w:rsidP="00E45E82">
      <w:pPr>
        <w:jc w:val="both"/>
        <w:rPr>
          <w:rFonts w:ascii="CG Omega" w:hAnsi="CG Omega"/>
          <w:sz w:val="24"/>
          <w:szCs w:val="24"/>
          <w:lang w:val="es-MX"/>
        </w:rPr>
      </w:pPr>
    </w:p>
    <w:p w:rsidR="00BE3BC9" w:rsidRPr="00C914AE" w:rsidRDefault="00BE3BC9" w:rsidP="00E45E82">
      <w:pPr>
        <w:jc w:val="both"/>
        <w:rPr>
          <w:rFonts w:ascii="CG Omega" w:hAnsi="CG Omega"/>
          <w:sz w:val="24"/>
          <w:szCs w:val="24"/>
        </w:rPr>
      </w:pPr>
    </w:p>
    <w:p w:rsidR="00D71B52" w:rsidRPr="00C914AE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757F07">
        <w:rPr>
          <w:rFonts w:ascii="CG Omega" w:hAnsi="CG Omega" w:cs="Times New Roman"/>
          <w:spacing w:val="-3"/>
          <w:sz w:val="24"/>
          <w:szCs w:val="24"/>
          <w:lang w:eastAsia="ar-SA"/>
        </w:rPr>
        <w:t>04 de Septiembre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2012.</w:t>
      </w:r>
      <w:r w:rsidR="00B658EA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C914AE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C914AE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4A58D3" w:rsidRPr="00C914AE" w:rsidRDefault="004A58D3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BE3BC9" w:rsidRPr="00C914AE" w:rsidRDefault="00BE3BC9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C914AE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C914AE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C914AE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C914AE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C914AE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C914AE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C914AE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p w:rsidR="00BE3BC9" w:rsidRPr="00C914AE" w:rsidRDefault="00BE3BC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p w:rsidR="00BE3BC9" w:rsidRPr="00C914AE" w:rsidRDefault="00BE3BC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BE3BC9" w:rsidRPr="00C914AE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lbertus">
    <w:altName w:val="Century Gothic"/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4D8F3906"/>
    <w:multiLevelType w:val="hybridMultilevel"/>
    <w:tmpl w:val="D2F812A6"/>
    <w:lvl w:ilvl="0" w:tplc="BB52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A4133"/>
    <w:rsid w:val="001F507F"/>
    <w:rsid w:val="002558AE"/>
    <w:rsid w:val="002B3BEB"/>
    <w:rsid w:val="002D1130"/>
    <w:rsid w:val="00323D0B"/>
    <w:rsid w:val="003C6554"/>
    <w:rsid w:val="00481046"/>
    <w:rsid w:val="004978B4"/>
    <w:rsid w:val="004A58D3"/>
    <w:rsid w:val="004D1E96"/>
    <w:rsid w:val="005B2A50"/>
    <w:rsid w:val="005F40DA"/>
    <w:rsid w:val="006F2101"/>
    <w:rsid w:val="00700EEF"/>
    <w:rsid w:val="00757F07"/>
    <w:rsid w:val="00782DA1"/>
    <w:rsid w:val="00785A51"/>
    <w:rsid w:val="00823CFD"/>
    <w:rsid w:val="0085748E"/>
    <w:rsid w:val="008E0704"/>
    <w:rsid w:val="00937986"/>
    <w:rsid w:val="00971102"/>
    <w:rsid w:val="009F55C0"/>
    <w:rsid w:val="00A80B38"/>
    <w:rsid w:val="00AF6E13"/>
    <w:rsid w:val="00B17170"/>
    <w:rsid w:val="00B658EA"/>
    <w:rsid w:val="00B65C87"/>
    <w:rsid w:val="00BD4A12"/>
    <w:rsid w:val="00BE3BC9"/>
    <w:rsid w:val="00C41331"/>
    <w:rsid w:val="00C914AE"/>
    <w:rsid w:val="00CA68DC"/>
    <w:rsid w:val="00D01B08"/>
    <w:rsid w:val="00D06083"/>
    <w:rsid w:val="00D5541A"/>
    <w:rsid w:val="00D71B52"/>
    <w:rsid w:val="00DD324D"/>
    <w:rsid w:val="00E041E7"/>
    <w:rsid w:val="00E251BC"/>
    <w:rsid w:val="00E409E6"/>
    <w:rsid w:val="00E45E82"/>
    <w:rsid w:val="00ED6045"/>
    <w:rsid w:val="00ED696D"/>
    <w:rsid w:val="00EE6AC4"/>
    <w:rsid w:val="00EF257C"/>
    <w:rsid w:val="00F469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2012-01-26T19:16:00Z</cp:lastPrinted>
  <dcterms:created xsi:type="dcterms:W3CDTF">2012-09-04T15:02:00Z</dcterms:created>
  <dcterms:modified xsi:type="dcterms:W3CDTF">2012-09-04T15:11:00Z</dcterms:modified>
</cp:coreProperties>
</file>