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958D" w14:textId="5F1B9E24" w:rsidR="006A101C" w:rsidRPr="00B22C20" w:rsidRDefault="006A101C" w:rsidP="006A1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BC56FA">
        <w:rPr>
          <w:rFonts w:ascii="Times New Roman" w:hAnsi="Times New Roman" w:cs="Times New Roman"/>
          <w:b/>
          <w:sz w:val="24"/>
          <w:szCs w:val="24"/>
          <w:lang w:val="es-HN"/>
        </w:rPr>
        <w:t xml:space="preserve">ACTA DE </w:t>
      </w:r>
      <w:r w:rsidR="005C203D">
        <w:rPr>
          <w:rFonts w:ascii="Times New Roman" w:hAnsi="Times New Roman" w:cs="Times New Roman"/>
          <w:b/>
          <w:sz w:val="24"/>
          <w:szCs w:val="24"/>
          <w:lang w:val="es-HN"/>
        </w:rPr>
        <w:t>CANCELACION DE PROCESO</w:t>
      </w:r>
    </w:p>
    <w:p w14:paraId="0A90F541" w14:textId="77777777" w:rsidR="00B81912" w:rsidRPr="00B81912" w:rsidRDefault="00B81912" w:rsidP="00B8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B81912">
        <w:rPr>
          <w:rFonts w:ascii="Times New Roman" w:hAnsi="Times New Roman" w:cs="Times New Roman"/>
          <w:b/>
          <w:sz w:val="24"/>
          <w:szCs w:val="24"/>
          <w:lang w:val="es-HN"/>
        </w:rPr>
        <w:t xml:space="preserve">LICITACIÓN </w:t>
      </w:r>
      <w:r w:rsidR="00905D08">
        <w:rPr>
          <w:rFonts w:ascii="Times New Roman" w:hAnsi="Times New Roman" w:cs="Times New Roman"/>
          <w:b/>
          <w:sz w:val="24"/>
          <w:szCs w:val="24"/>
          <w:lang w:val="es-HN"/>
        </w:rPr>
        <w:t>PRIVADA</w:t>
      </w:r>
      <w:r w:rsidRPr="00B81912">
        <w:rPr>
          <w:rFonts w:ascii="Times New Roman" w:hAnsi="Times New Roman" w:cs="Times New Roman"/>
          <w:b/>
          <w:sz w:val="24"/>
          <w:szCs w:val="24"/>
          <w:lang w:val="es-HN"/>
        </w:rPr>
        <w:t xml:space="preserve"> </w:t>
      </w:r>
    </w:p>
    <w:p w14:paraId="761D6679" w14:textId="77777777" w:rsidR="00B81912" w:rsidRPr="00EF7263" w:rsidRDefault="00296CD5" w:rsidP="00B8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296CD5">
        <w:rPr>
          <w:rFonts w:ascii="Times New Roman" w:hAnsi="Times New Roman" w:cs="Times New Roman"/>
          <w:b/>
          <w:sz w:val="24"/>
          <w:szCs w:val="24"/>
          <w:lang w:val="es-HN"/>
        </w:rPr>
        <w:t xml:space="preserve"> No. PPCM- LPV-2-6</w:t>
      </w:r>
      <w:r w:rsidR="00147C5F">
        <w:rPr>
          <w:rFonts w:ascii="Times New Roman" w:hAnsi="Times New Roman" w:cs="Times New Roman"/>
          <w:b/>
          <w:sz w:val="24"/>
          <w:szCs w:val="24"/>
          <w:lang w:val="es-HN"/>
        </w:rPr>
        <w:t>7</w:t>
      </w:r>
      <w:r w:rsidRPr="00296CD5">
        <w:rPr>
          <w:rFonts w:ascii="Times New Roman" w:hAnsi="Times New Roman" w:cs="Times New Roman"/>
          <w:b/>
          <w:sz w:val="24"/>
          <w:szCs w:val="24"/>
          <w:lang w:val="es-HN"/>
        </w:rPr>
        <w:t>-S-0</w:t>
      </w:r>
      <w:r w:rsidR="00147C5F">
        <w:rPr>
          <w:rFonts w:ascii="Times New Roman" w:hAnsi="Times New Roman" w:cs="Times New Roman"/>
          <w:b/>
          <w:sz w:val="24"/>
          <w:szCs w:val="24"/>
          <w:lang w:val="es-HN"/>
        </w:rPr>
        <w:t>1</w:t>
      </w:r>
      <w:r w:rsidRPr="00296CD5">
        <w:rPr>
          <w:rFonts w:ascii="Times New Roman" w:hAnsi="Times New Roman" w:cs="Times New Roman"/>
          <w:b/>
          <w:sz w:val="24"/>
          <w:szCs w:val="24"/>
          <w:lang w:val="es-HN"/>
        </w:rPr>
        <w:t>-2020</w:t>
      </w:r>
    </w:p>
    <w:p w14:paraId="60F12212" w14:textId="77777777" w:rsidR="00296CD5" w:rsidRPr="00296CD5" w:rsidRDefault="00DB78F5" w:rsidP="00296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HN"/>
        </w:rPr>
      </w:pPr>
      <w:r>
        <w:rPr>
          <w:rFonts w:ascii="Times New Roman" w:hAnsi="Times New Roman" w:cs="Times New Roman"/>
          <w:b/>
          <w:sz w:val="24"/>
          <w:szCs w:val="24"/>
          <w:lang w:val="es-HN"/>
        </w:rPr>
        <w:t>ADQUISICION DE SERVICIOS DE ALQUILER DE PUBLICIDAD EN LAS UNIDADES MOVILES DE 10 MOTO TAXIS</w:t>
      </w:r>
    </w:p>
    <w:p w14:paraId="1DB4FEF5" w14:textId="77777777" w:rsidR="006A101C" w:rsidRPr="00B22C20" w:rsidRDefault="006A101C" w:rsidP="006A101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s-HN"/>
        </w:rPr>
      </w:pPr>
    </w:p>
    <w:p w14:paraId="43A5BE7E" w14:textId="0B63289F" w:rsidR="006A101C" w:rsidRDefault="006A101C" w:rsidP="00EF7263">
      <w:pPr>
        <w:keepNext/>
        <w:numPr>
          <w:ilvl w:val="12"/>
          <w:numId w:val="0"/>
        </w:numPr>
        <w:tabs>
          <w:tab w:val="left" w:pos="-720"/>
          <w:tab w:val="center" w:pos="450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sz w:val="24"/>
          <w:szCs w:val="24"/>
          <w:lang w:val="es-HN"/>
        </w:rPr>
        <w:t>En la Ciudad de Tegucigalpa M.D.C., r</w:t>
      </w:r>
      <w:r w:rsidRPr="00BC56FA">
        <w:rPr>
          <w:rFonts w:ascii="Times New Roman" w:hAnsi="Times New Roman" w:cs="Times New Roman"/>
          <w:sz w:val="24"/>
          <w:szCs w:val="24"/>
          <w:lang w:val="es-HN"/>
        </w:rPr>
        <w:t xml:space="preserve">eunidos en el salón de sesiones de la Dirección </w:t>
      </w:r>
      <w:r>
        <w:rPr>
          <w:rFonts w:ascii="Times New Roman" w:hAnsi="Times New Roman" w:cs="Times New Roman"/>
          <w:sz w:val="24"/>
          <w:szCs w:val="24"/>
          <w:lang w:val="es-HN"/>
        </w:rPr>
        <w:t>del Programa Ciudad Mujer</w:t>
      </w:r>
      <w:r w:rsidRPr="00BC56FA">
        <w:rPr>
          <w:rFonts w:ascii="Times New Roman" w:hAnsi="Times New Roman" w:cs="Times New Roman"/>
          <w:sz w:val="24"/>
          <w:szCs w:val="24"/>
          <w:lang w:val="es-HN"/>
        </w:rPr>
        <w:t xml:space="preserve">, </w:t>
      </w:r>
      <w:r w:rsidR="00111073">
        <w:rPr>
          <w:rFonts w:ascii="Times New Roman" w:hAnsi="Times New Roman" w:cs="Times New Roman"/>
          <w:sz w:val="24"/>
          <w:szCs w:val="24"/>
          <w:lang w:val="es-HN"/>
        </w:rPr>
        <w:t>ubicado</w:t>
      </w:r>
      <w:r>
        <w:rPr>
          <w:rFonts w:ascii="Times New Roman" w:hAnsi="Times New Roman" w:cs="Times New Roman"/>
          <w:sz w:val="24"/>
          <w:szCs w:val="24"/>
          <w:lang w:val="es-HN"/>
        </w:rPr>
        <w:t xml:space="preserve"> en Colonia </w:t>
      </w:r>
      <w:r w:rsidR="00905D08">
        <w:rPr>
          <w:rFonts w:ascii="Times New Roman" w:hAnsi="Times New Roman" w:cs="Times New Roman"/>
          <w:sz w:val="24"/>
          <w:szCs w:val="24"/>
          <w:lang w:val="es-HN"/>
        </w:rPr>
        <w:t xml:space="preserve">Alameda, Edificio Plaza del Carmen, Avenida Tiburcio Carias.4ta calle, Frente Escuela Honduras, Tegucigalpa M.D.C., </w:t>
      </w:r>
      <w:r>
        <w:rPr>
          <w:rFonts w:ascii="Times New Roman" w:hAnsi="Times New Roman" w:cs="Times New Roman"/>
          <w:sz w:val="24"/>
          <w:szCs w:val="24"/>
          <w:lang w:val="es-HN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es-HN"/>
        </w:rPr>
        <w:t xml:space="preserve">los </w:t>
      </w:r>
      <w:r w:rsidRPr="00BC56FA">
        <w:rPr>
          <w:rFonts w:ascii="Times New Roman" w:hAnsi="Times New Roman" w:cs="Times New Roman"/>
          <w:b/>
          <w:sz w:val="24"/>
          <w:szCs w:val="24"/>
          <w:lang w:val="es-HN"/>
        </w:rPr>
        <w:t xml:space="preserve"> </w:t>
      </w:r>
      <w:r w:rsidR="005C203D">
        <w:rPr>
          <w:rFonts w:ascii="Times New Roman" w:hAnsi="Times New Roman" w:cs="Times New Roman"/>
          <w:b/>
          <w:sz w:val="24"/>
          <w:szCs w:val="24"/>
          <w:lang w:val="es-HN"/>
        </w:rPr>
        <w:t>veintiún</w:t>
      </w:r>
      <w:proofErr w:type="gramEnd"/>
      <w:r w:rsidR="005C203D">
        <w:rPr>
          <w:rFonts w:ascii="Times New Roman" w:hAnsi="Times New Roman" w:cs="Times New Roman"/>
          <w:b/>
          <w:sz w:val="24"/>
          <w:szCs w:val="24"/>
          <w:lang w:val="es-HN"/>
        </w:rPr>
        <w:t xml:space="preserve"> (21) días del mes de enero de </w:t>
      </w:r>
      <w:r w:rsidR="009C4AF0">
        <w:rPr>
          <w:rFonts w:ascii="Times New Roman" w:hAnsi="Times New Roman" w:cs="Times New Roman"/>
          <w:b/>
          <w:sz w:val="24"/>
          <w:szCs w:val="24"/>
          <w:lang w:val="es-HN"/>
        </w:rPr>
        <w:t>dos mil veintiuno (</w:t>
      </w:r>
      <w:r w:rsidR="005C203D">
        <w:rPr>
          <w:rFonts w:ascii="Times New Roman" w:hAnsi="Times New Roman" w:cs="Times New Roman"/>
          <w:b/>
          <w:sz w:val="24"/>
          <w:szCs w:val="24"/>
          <w:lang w:val="es-HN"/>
        </w:rPr>
        <w:t>2021</w:t>
      </w:r>
      <w:r w:rsidR="009C4AF0">
        <w:rPr>
          <w:rFonts w:ascii="Times New Roman" w:hAnsi="Times New Roman" w:cs="Times New Roman"/>
          <w:b/>
          <w:sz w:val="24"/>
          <w:szCs w:val="24"/>
          <w:lang w:val="es-HN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s-HN"/>
        </w:rPr>
        <w:t xml:space="preserve">, </w:t>
      </w:r>
      <w:r w:rsidRPr="00BC56FA">
        <w:rPr>
          <w:rFonts w:ascii="Times New Roman" w:hAnsi="Times New Roman" w:cs="Times New Roman"/>
          <w:b/>
          <w:sz w:val="24"/>
          <w:szCs w:val="24"/>
          <w:lang w:val="es-HN"/>
        </w:rPr>
        <w:t xml:space="preserve">siendo las </w:t>
      </w:r>
      <w:r w:rsidR="00DB78F5">
        <w:rPr>
          <w:rFonts w:ascii="Times New Roman" w:hAnsi="Times New Roman" w:cs="Times New Roman"/>
          <w:b/>
          <w:sz w:val="24"/>
          <w:szCs w:val="24"/>
          <w:lang w:val="es-HN"/>
        </w:rPr>
        <w:t>10:0</w:t>
      </w:r>
      <w:r>
        <w:rPr>
          <w:rFonts w:ascii="Times New Roman" w:hAnsi="Times New Roman" w:cs="Times New Roman"/>
          <w:b/>
          <w:sz w:val="24"/>
          <w:szCs w:val="24"/>
          <w:lang w:val="es-HN"/>
        </w:rPr>
        <w:t>0 a.m.</w:t>
      </w:r>
      <w:r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="00147C5F">
        <w:rPr>
          <w:rFonts w:ascii="Times New Roman" w:hAnsi="Times New Roman" w:cs="Times New Roman"/>
          <w:sz w:val="24"/>
          <w:szCs w:val="24"/>
          <w:lang w:val="es-HN"/>
        </w:rPr>
        <w:t>se desarrolló el siguiente acto.</w:t>
      </w:r>
    </w:p>
    <w:p w14:paraId="4889B82C" w14:textId="55B8654D" w:rsidR="006A101C" w:rsidRPr="00325564" w:rsidRDefault="006A101C" w:rsidP="00296C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HN"/>
        </w:rPr>
      </w:pPr>
      <w:r>
        <w:rPr>
          <w:rFonts w:ascii="Times New Roman" w:hAnsi="Times New Roman" w:cs="Times New Roman"/>
          <w:b/>
          <w:sz w:val="24"/>
          <w:szCs w:val="24"/>
          <w:lang w:val="es-HN"/>
        </w:rPr>
        <w:t xml:space="preserve">PRIMERO: </w:t>
      </w:r>
      <w:r w:rsidR="005C203D">
        <w:rPr>
          <w:rFonts w:ascii="Times New Roman" w:hAnsi="Times New Roman" w:cs="Times New Roman"/>
          <w:sz w:val="24"/>
          <w:szCs w:val="24"/>
          <w:lang w:val="es-HN"/>
        </w:rPr>
        <w:t>Por este acto se fracasa el proceso de contratacion mencionado anteriormente por la situación de pandemia de COVID 19, y porque ninguna de las empresas atendió las solicitudes de aclaración enviad</w:t>
      </w:r>
      <w:r w:rsidR="008C15F5">
        <w:rPr>
          <w:rFonts w:ascii="Times New Roman" w:hAnsi="Times New Roman" w:cs="Times New Roman"/>
          <w:sz w:val="24"/>
          <w:szCs w:val="24"/>
          <w:lang w:val="es-HN"/>
        </w:rPr>
        <w:t>a</w:t>
      </w:r>
      <w:r w:rsidR="005C203D">
        <w:rPr>
          <w:rFonts w:ascii="Times New Roman" w:hAnsi="Times New Roman" w:cs="Times New Roman"/>
          <w:sz w:val="24"/>
          <w:szCs w:val="24"/>
          <w:lang w:val="es-HN"/>
        </w:rPr>
        <w:t>s con lo cual las ofertas recibida</w:t>
      </w:r>
      <w:r w:rsidR="008C15F5">
        <w:rPr>
          <w:rFonts w:ascii="Times New Roman" w:hAnsi="Times New Roman" w:cs="Times New Roman"/>
          <w:sz w:val="24"/>
          <w:szCs w:val="24"/>
          <w:lang w:val="es-HN"/>
        </w:rPr>
        <w:t>s</w:t>
      </w:r>
      <w:r w:rsidR="005C203D">
        <w:rPr>
          <w:rFonts w:ascii="Times New Roman" w:hAnsi="Times New Roman" w:cs="Times New Roman"/>
          <w:sz w:val="24"/>
          <w:szCs w:val="24"/>
          <w:lang w:val="es-HN"/>
        </w:rPr>
        <w:t xml:space="preserve"> de </w:t>
      </w:r>
      <w:proofErr w:type="gramStart"/>
      <w:r w:rsidR="005C203D">
        <w:rPr>
          <w:rFonts w:ascii="Times New Roman" w:hAnsi="Times New Roman" w:cs="Times New Roman"/>
          <w:sz w:val="24"/>
          <w:szCs w:val="24"/>
          <w:lang w:val="es-HN"/>
        </w:rPr>
        <w:t>la siguientes empresas</w:t>
      </w:r>
      <w:proofErr w:type="gramEnd"/>
      <w:r w:rsidR="005C203D">
        <w:rPr>
          <w:rFonts w:ascii="Times New Roman" w:hAnsi="Times New Roman" w:cs="Times New Roman"/>
          <w:sz w:val="24"/>
          <w:szCs w:val="24"/>
          <w:lang w:val="es-HN"/>
        </w:rPr>
        <w:t xml:space="preserve"> no se ajustan sustancialmente a lo requerido en el Documento de </w:t>
      </w:r>
      <w:r w:rsidR="009C4AF0">
        <w:rPr>
          <w:rFonts w:ascii="Times New Roman" w:hAnsi="Times New Roman" w:cs="Times New Roman"/>
          <w:sz w:val="24"/>
          <w:szCs w:val="24"/>
          <w:lang w:val="es-HN"/>
        </w:rPr>
        <w:t>Licitación</w:t>
      </w:r>
      <w:r>
        <w:rPr>
          <w:rFonts w:ascii="Times New Roman" w:hAnsi="Times New Roman" w:cs="Times New Roman"/>
          <w:sz w:val="24"/>
          <w:szCs w:val="24"/>
          <w:lang w:val="es-HN"/>
        </w:rPr>
        <w:t>:</w:t>
      </w:r>
    </w:p>
    <w:p w14:paraId="666B4600" w14:textId="77777777" w:rsidR="00AC4834" w:rsidRDefault="00AC4834" w:rsidP="00296C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HN"/>
        </w:rPr>
      </w:pPr>
    </w:p>
    <w:tbl>
      <w:tblPr>
        <w:tblStyle w:val="Tablaconcuadrcula"/>
        <w:tblW w:w="5949" w:type="dxa"/>
        <w:jc w:val="center"/>
        <w:tblLook w:val="04A0" w:firstRow="1" w:lastRow="0" w:firstColumn="1" w:lastColumn="0" w:noHBand="0" w:noVBand="1"/>
      </w:tblPr>
      <w:tblGrid>
        <w:gridCol w:w="562"/>
        <w:gridCol w:w="5387"/>
      </w:tblGrid>
      <w:tr w:rsidR="009C4AF0" w:rsidRPr="00AC4834" w14:paraId="4CF0ED1E" w14:textId="77777777" w:rsidTr="009C4AF0">
        <w:trPr>
          <w:trHeight w:val="781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3C695BEC" w14:textId="77777777" w:rsidR="009C4AF0" w:rsidRPr="00AC4834" w:rsidRDefault="009C4AF0" w:rsidP="00B26E34">
            <w:pPr>
              <w:keepNext/>
              <w:numPr>
                <w:ilvl w:val="12"/>
                <w:numId w:val="0"/>
              </w:numPr>
              <w:tabs>
                <w:tab w:val="left" w:pos="-720"/>
                <w:tab w:val="center" w:pos="450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lang w:val="es-HN"/>
              </w:rPr>
            </w:pPr>
            <w:r w:rsidRPr="00AC4834">
              <w:rPr>
                <w:rFonts w:ascii="Times New Roman" w:hAnsi="Times New Roman" w:cs="Times New Roman"/>
                <w:b/>
                <w:lang w:val="es-HN"/>
              </w:rPr>
              <w:t xml:space="preserve">No. </w:t>
            </w:r>
          </w:p>
        </w:tc>
        <w:tc>
          <w:tcPr>
            <w:tcW w:w="5387" w:type="dxa"/>
            <w:shd w:val="clear" w:color="auto" w:fill="D0CECE" w:themeFill="background2" w:themeFillShade="E6"/>
            <w:vAlign w:val="center"/>
          </w:tcPr>
          <w:p w14:paraId="30F8321F" w14:textId="77777777" w:rsidR="009C4AF0" w:rsidRPr="00AC4834" w:rsidRDefault="009C4AF0" w:rsidP="00B26E34">
            <w:pPr>
              <w:keepNext/>
              <w:numPr>
                <w:ilvl w:val="12"/>
                <w:numId w:val="0"/>
              </w:numPr>
              <w:tabs>
                <w:tab w:val="left" w:pos="-720"/>
                <w:tab w:val="center" w:pos="450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lang w:val="es-HN"/>
              </w:rPr>
            </w:pPr>
            <w:r w:rsidRPr="00AC4834">
              <w:rPr>
                <w:rFonts w:ascii="Times New Roman" w:hAnsi="Times New Roman" w:cs="Times New Roman"/>
                <w:b/>
                <w:lang w:val="es-HN"/>
              </w:rPr>
              <w:t>Oferente</w:t>
            </w:r>
          </w:p>
        </w:tc>
      </w:tr>
      <w:tr w:rsidR="009C4AF0" w:rsidRPr="00AC4834" w14:paraId="05494E52" w14:textId="77777777" w:rsidTr="009C4AF0">
        <w:trPr>
          <w:trHeight w:val="529"/>
          <w:jc w:val="center"/>
        </w:trPr>
        <w:tc>
          <w:tcPr>
            <w:tcW w:w="562" w:type="dxa"/>
            <w:vAlign w:val="center"/>
          </w:tcPr>
          <w:p w14:paraId="51C565FA" w14:textId="77777777" w:rsidR="009C4AF0" w:rsidRPr="00AC4834" w:rsidRDefault="009C4AF0" w:rsidP="009C4AF0">
            <w:pPr>
              <w:keepNext/>
              <w:numPr>
                <w:ilvl w:val="12"/>
                <w:numId w:val="0"/>
              </w:numPr>
              <w:tabs>
                <w:tab w:val="left" w:pos="-720"/>
                <w:tab w:val="center" w:pos="450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lang w:val="es-HN"/>
              </w:rPr>
            </w:pPr>
            <w:r w:rsidRPr="00AC4834">
              <w:rPr>
                <w:rFonts w:ascii="Times New Roman" w:hAnsi="Times New Roman" w:cs="Times New Roman"/>
                <w:lang w:val="es-HN"/>
              </w:rPr>
              <w:t>1</w:t>
            </w:r>
          </w:p>
        </w:tc>
        <w:tc>
          <w:tcPr>
            <w:tcW w:w="5387" w:type="dxa"/>
            <w:vAlign w:val="center"/>
          </w:tcPr>
          <w:p w14:paraId="1CE5FCA4" w14:textId="77777777" w:rsidR="009C4AF0" w:rsidRPr="00AC4834" w:rsidRDefault="009C4AF0" w:rsidP="002778C5">
            <w:pPr>
              <w:keepNext/>
              <w:numPr>
                <w:ilvl w:val="12"/>
                <w:numId w:val="0"/>
              </w:numPr>
              <w:tabs>
                <w:tab w:val="left" w:pos="-720"/>
                <w:tab w:val="center" w:pos="450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lang w:val="es-HN"/>
              </w:rPr>
            </w:pPr>
            <w:r w:rsidRPr="00AC4834">
              <w:rPr>
                <w:rFonts w:ascii="Times New Roman" w:hAnsi="Times New Roman" w:cs="Times New Roman"/>
                <w:lang w:val="es-HN"/>
              </w:rPr>
              <w:t>Inversiones Bienes y Raíces Turi S. de R.L.</w:t>
            </w:r>
          </w:p>
        </w:tc>
      </w:tr>
      <w:tr w:rsidR="009C4AF0" w:rsidRPr="00AC4834" w14:paraId="51497FC5" w14:textId="77777777" w:rsidTr="009C4AF0">
        <w:trPr>
          <w:trHeight w:val="529"/>
          <w:jc w:val="center"/>
        </w:trPr>
        <w:tc>
          <w:tcPr>
            <w:tcW w:w="562" w:type="dxa"/>
            <w:vAlign w:val="center"/>
          </w:tcPr>
          <w:p w14:paraId="684E4AF3" w14:textId="77777777" w:rsidR="009C4AF0" w:rsidRPr="00AC4834" w:rsidRDefault="009C4AF0" w:rsidP="009C4AF0">
            <w:pPr>
              <w:keepNext/>
              <w:numPr>
                <w:ilvl w:val="12"/>
                <w:numId w:val="0"/>
              </w:numPr>
              <w:tabs>
                <w:tab w:val="left" w:pos="-720"/>
                <w:tab w:val="center" w:pos="450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lang w:val="es-HN"/>
              </w:rPr>
            </w:pPr>
            <w:r w:rsidRPr="00AC4834">
              <w:rPr>
                <w:rFonts w:ascii="Times New Roman" w:hAnsi="Times New Roman" w:cs="Times New Roman"/>
                <w:lang w:val="es-HN"/>
              </w:rPr>
              <w:t>2</w:t>
            </w:r>
          </w:p>
        </w:tc>
        <w:tc>
          <w:tcPr>
            <w:tcW w:w="5387" w:type="dxa"/>
            <w:vAlign w:val="center"/>
          </w:tcPr>
          <w:p w14:paraId="1E9E2EBA" w14:textId="77777777" w:rsidR="009C4AF0" w:rsidRPr="00AC4834" w:rsidRDefault="009C4AF0" w:rsidP="002778C5">
            <w:pPr>
              <w:keepNext/>
              <w:numPr>
                <w:ilvl w:val="12"/>
                <w:numId w:val="0"/>
              </w:numPr>
              <w:tabs>
                <w:tab w:val="left" w:pos="-720"/>
                <w:tab w:val="center" w:pos="450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lang w:val="es-HN"/>
              </w:rPr>
            </w:pPr>
            <w:r w:rsidRPr="00AC4834">
              <w:rPr>
                <w:rFonts w:ascii="Times New Roman" w:hAnsi="Times New Roman" w:cs="Times New Roman"/>
                <w:lang w:val="es-HN"/>
              </w:rPr>
              <w:t>Servicios Técnicos Publicitarios</w:t>
            </w:r>
          </w:p>
        </w:tc>
      </w:tr>
      <w:tr w:rsidR="009C4AF0" w:rsidRPr="00AC4834" w14:paraId="64A1CA78" w14:textId="77777777" w:rsidTr="009C4AF0">
        <w:trPr>
          <w:trHeight w:val="529"/>
          <w:jc w:val="center"/>
        </w:trPr>
        <w:tc>
          <w:tcPr>
            <w:tcW w:w="562" w:type="dxa"/>
            <w:vAlign w:val="center"/>
          </w:tcPr>
          <w:p w14:paraId="0BB785A2" w14:textId="77777777" w:rsidR="009C4AF0" w:rsidRPr="00AC4834" w:rsidRDefault="009C4AF0" w:rsidP="009C4AF0">
            <w:pPr>
              <w:keepNext/>
              <w:numPr>
                <w:ilvl w:val="12"/>
                <w:numId w:val="0"/>
              </w:numPr>
              <w:tabs>
                <w:tab w:val="left" w:pos="-720"/>
                <w:tab w:val="center" w:pos="450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lang w:val="es-HN"/>
              </w:rPr>
            </w:pPr>
            <w:r w:rsidRPr="00AC4834">
              <w:rPr>
                <w:rFonts w:ascii="Times New Roman" w:hAnsi="Times New Roman" w:cs="Times New Roman"/>
                <w:lang w:val="es-HN"/>
              </w:rPr>
              <w:t>3</w:t>
            </w:r>
          </w:p>
        </w:tc>
        <w:tc>
          <w:tcPr>
            <w:tcW w:w="5387" w:type="dxa"/>
            <w:vAlign w:val="center"/>
          </w:tcPr>
          <w:p w14:paraId="1A8E3BE5" w14:textId="77777777" w:rsidR="009C4AF0" w:rsidRPr="00AC4834" w:rsidRDefault="009C4AF0" w:rsidP="002778C5">
            <w:pPr>
              <w:keepNext/>
              <w:numPr>
                <w:ilvl w:val="12"/>
                <w:numId w:val="0"/>
              </w:numPr>
              <w:tabs>
                <w:tab w:val="left" w:pos="-720"/>
                <w:tab w:val="center" w:pos="450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lang w:val="es-HN"/>
              </w:rPr>
            </w:pPr>
            <w:r w:rsidRPr="00AC4834">
              <w:rPr>
                <w:rFonts w:ascii="Times New Roman" w:hAnsi="Times New Roman" w:cs="Times New Roman"/>
                <w:lang w:val="es-HN"/>
              </w:rPr>
              <w:t>INGECO</w:t>
            </w:r>
          </w:p>
        </w:tc>
      </w:tr>
      <w:tr w:rsidR="009C4AF0" w:rsidRPr="00AC4834" w14:paraId="728A19E6" w14:textId="77777777" w:rsidTr="009C4AF0">
        <w:trPr>
          <w:trHeight w:val="529"/>
          <w:jc w:val="center"/>
        </w:trPr>
        <w:tc>
          <w:tcPr>
            <w:tcW w:w="562" w:type="dxa"/>
            <w:vAlign w:val="center"/>
          </w:tcPr>
          <w:p w14:paraId="2DE14C44" w14:textId="77777777" w:rsidR="009C4AF0" w:rsidRPr="00AC4834" w:rsidRDefault="009C4AF0" w:rsidP="009C4AF0">
            <w:pPr>
              <w:keepNext/>
              <w:numPr>
                <w:ilvl w:val="12"/>
                <w:numId w:val="0"/>
              </w:numPr>
              <w:tabs>
                <w:tab w:val="left" w:pos="-720"/>
                <w:tab w:val="center" w:pos="450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lang w:val="es-HN"/>
              </w:rPr>
            </w:pPr>
            <w:r w:rsidRPr="00AC4834">
              <w:rPr>
                <w:rFonts w:ascii="Times New Roman" w:hAnsi="Times New Roman" w:cs="Times New Roman"/>
                <w:lang w:val="es-HN"/>
              </w:rPr>
              <w:t>4</w:t>
            </w:r>
          </w:p>
        </w:tc>
        <w:tc>
          <w:tcPr>
            <w:tcW w:w="5387" w:type="dxa"/>
            <w:vAlign w:val="center"/>
          </w:tcPr>
          <w:p w14:paraId="37378B0B" w14:textId="77777777" w:rsidR="009C4AF0" w:rsidRPr="00AC4834" w:rsidRDefault="009C4AF0" w:rsidP="00AC4834">
            <w:pPr>
              <w:keepNext/>
              <w:numPr>
                <w:ilvl w:val="12"/>
                <w:numId w:val="0"/>
              </w:numPr>
              <w:tabs>
                <w:tab w:val="left" w:pos="-720"/>
                <w:tab w:val="center" w:pos="450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 w:cs="Times New Roman"/>
                <w:lang w:val="es-HN"/>
              </w:rPr>
            </w:pPr>
            <w:r w:rsidRPr="00AC4834">
              <w:rPr>
                <w:rFonts w:ascii="Times New Roman" w:hAnsi="Times New Roman" w:cs="Times New Roman"/>
                <w:lang w:val="es-HN"/>
              </w:rPr>
              <w:t xml:space="preserve">Inversiones Torriza </w:t>
            </w:r>
          </w:p>
        </w:tc>
      </w:tr>
    </w:tbl>
    <w:p w14:paraId="371072C2" w14:textId="77777777" w:rsidR="00B26E34" w:rsidRDefault="00B26E34" w:rsidP="006A101C">
      <w:pPr>
        <w:rPr>
          <w:lang w:val="es-HN"/>
        </w:rPr>
      </w:pPr>
    </w:p>
    <w:p w14:paraId="6DBD7E95" w14:textId="72102C46" w:rsidR="00B1518E" w:rsidRDefault="00B1518E" w:rsidP="00296CD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HN"/>
        </w:rPr>
      </w:pPr>
    </w:p>
    <w:p w14:paraId="4DFB469B" w14:textId="0398F93F" w:rsidR="006A101C" w:rsidRPr="009C4AF0" w:rsidRDefault="006A101C" w:rsidP="009C4AF0">
      <w:pPr>
        <w:shd w:val="clear" w:color="auto" w:fill="FFFFFF"/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lang w:val="es-ES"/>
        </w:rPr>
      </w:pPr>
      <w:r w:rsidRPr="006A101C">
        <w:rPr>
          <w:rFonts w:ascii="Times New Roman" w:hAnsi="Times New Roman" w:cs="Times New Roman"/>
          <w:lang w:val="es-ES"/>
        </w:rPr>
        <w:t>En fe de lo anterior firm</w:t>
      </w:r>
      <w:r w:rsidR="009C4AF0">
        <w:rPr>
          <w:rFonts w:ascii="Times New Roman" w:hAnsi="Times New Roman" w:cs="Times New Roman"/>
          <w:lang w:val="es-ES"/>
        </w:rPr>
        <w:t>o</w:t>
      </w:r>
      <w:r w:rsidRPr="006A101C">
        <w:rPr>
          <w:rFonts w:ascii="Times New Roman" w:hAnsi="Times New Roman" w:cs="Times New Roman"/>
          <w:lang w:val="es-ES"/>
        </w:rPr>
        <w:t xml:space="preserve"> la presente acta a los </w:t>
      </w:r>
      <w:r w:rsidR="009C4AF0" w:rsidRPr="009C4AF0">
        <w:rPr>
          <w:rFonts w:ascii="Times New Roman" w:hAnsi="Times New Roman" w:cs="Times New Roman"/>
          <w:bCs/>
          <w:sz w:val="24"/>
          <w:szCs w:val="24"/>
          <w:lang w:val="es-HN"/>
        </w:rPr>
        <w:t xml:space="preserve">veintiún (21) días del mes de enero de </w:t>
      </w:r>
      <w:r w:rsidR="009C4AF0">
        <w:rPr>
          <w:rFonts w:ascii="Times New Roman" w:hAnsi="Times New Roman" w:cs="Times New Roman"/>
          <w:bCs/>
          <w:sz w:val="24"/>
          <w:szCs w:val="24"/>
          <w:lang w:val="es-HN"/>
        </w:rPr>
        <w:t xml:space="preserve">dos mil veintiuno </w:t>
      </w:r>
      <w:r w:rsidR="009C4AF0" w:rsidRPr="009C4AF0">
        <w:rPr>
          <w:rFonts w:ascii="Times New Roman" w:hAnsi="Times New Roman" w:cs="Times New Roman"/>
          <w:bCs/>
          <w:sz w:val="24"/>
          <w:szCs w:val="24"/>
          <w:lang w:val="es-HN"/>
        </w:rPr>
        <w:t>2021</w:t>
      </w:r>
      <w:r w:rsidR="009C4AF0" w:rsidRPr="009C4AF0">
        <w:rPr>
          <w:rFonts w:ascii="Times New Roman" w:hAnsi="Times New Roman" w:cs="Times New Roman"/>
          <w:bCs/>
          <w:sz w:val="24"/>
          <w:szCs w:val="24"/>
          <w:lang w:val="es-HN"/>
        </w:rPr>
        <w:t xml:space="preserve"> para efectos del fracaso del proceso en el portal de HONDUCOMPRAS </w:t>
      </w:r>
    </w:p>
    <w:p w14:paraId="3BD0922F" w14:textId="77777777" w:rsidR="006A101C" w:rsidRDefault="006A101C" w:rsidP="006A101C">
      <w:pPr>
        <w:shd w:val="clear" w:color="auto" w:fill="FFFFFF"/>
        <w:tabs>
          <w:tab w:val="left" w:pos="-720"/>
        </w:tabs>
        <w:suppressAutoHyphens/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A101C" w14:paraId="4C1FE2B0" w14:textId="77777777" w:rsidTr="00B26E34">
        <w:tc>
          <w:tcPr>
            <w:tcW w:w="2831" w:type="dxa"/>
            <w:shd w:val="clear" w:color="auto" w:fill="E7E6E6" w:themeFill="background2"/>
          </w:tcPr>
          <w:p w14:paraId="4B84E1CD" w14:textId="77777777" w:rsidR="006A101C" w:rsidRPr="006A101C" w:rsidRDefault="006A101C" w:rsidP="00A6447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Nombre</w:t>
            </w:r>
          </w:p>
        </w:tc>
        <w:tc>
          <w:tcPr>
            <w:tcW w:w="2831" w:type="dxa"/>
            <w:shd w:val="clear" w:color="auto" w:fill="E7E6E6" w:themeFill="background2"/>
          </w:tcPr>
          <w:p w14:paraId="43D74F50" w14:textId="77777777" w:rsidR="006A101C" w:rsidRPr="006A101C" w:rsidRDefault="006A101C" w:rsidP="00A6447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Cargo</w:t>
            </w:r>
          </w:p>
        </w:tc>
        <w:tc>
          <w:tcPr>
            <w:tcW w:w="2832" w:type="dxa"/>
            <w:shd w:val="clear" w:color="auto" w:fill="E7E6E6" w:themeFill="background2"/>
          </w:tcPr>
          <w:p w14:paraId="360A81BC" w14:textId="77777777" w:rsidR="006A101C" w:rsidRPr="006A101C" w:rsidRDefault="006A101C" w:rsidP="00A6447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6A101C">
              <w:rPr>
                <w:rFonts w:ascii="Times New Roman" w:hAnsi="Times New Roman" w:cs="Times New Roman"/>
                <w:b/>
                <w:lang w:val="es-ES"/>
              </w:rPr>
              <w:t>Firma</w:t>
            </w:r>
          </w:p>
        </w:tc>
      </w:tr>
      <w:tr w:rsidR="006A101C" w:rsidRPr="005C203D" w14:paraId="26DF83D5" w14:textId="77777777" w:rsidTr="00C157CC">
        <w:trPr>
          <w:trHeight w:val="707"/>
        </w:trPr>
        <w:tc>
          <w:tcPr>
            <w:tcW w:w="2831" w:type="dxa"/>
            <w:vAlign w:val="center"/>
          </w:tcPr>
          <w:p w14:paraId="48C02851" w14:textId="77777777" w:rsidR="006A101C" w:rsidRDefault="006A101C" w:rsidP="00B26E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Eddie Maribel </w:t>
            </w:r>
            <w:r w:rsidR="005E35EF">
              <w:rPr>
                <w:rFonts w:ascii="Times New Roman" w:hAnsi="Times New Roman" w:cs="Times New Roman"/>
                <w:lang w:val="es-ES"/>
              </w:rPr>
              <w:t>Díaz</w:t>
            </w:r>
          </w:p>
        </w:tc>
        <w:tc>
          <w:tcPr>
            <w:tcW w:w="2831" w:type="dxa"/>
            <w:vAlign w:val="center"/>
          </w:tcPr>
          <w:p w14:paraId="0ED78A5D" w14:textId="77777777" w:rsidR="006A101C" w:rsidRDefault="006A101C" w:rsidP="00B26E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Especialista de Adquisiciones y Contrataciones</w:t>
            </w:r>
          </w:p>
        </w:tc>
        <w:tc>
          <w:tcPr>
            <w:tcW w:w="2832" w:type="dxa"/>
          </w:tcPr>
          <w:p w14:paraId="7DE3CA94" w14:textId="77777777" w:rsidR="006A101C" w:rsidRDefault="006A101C" w:rsidP="00B26E34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67D143CA" w14:textId="77777777" w:rsidR="006A101C" w:rsidRPr="006A101C" w:rsidRDefault="006A101C" w:rsidP="006A101C">
      <w:pPr>
        <w:jc w:val="both"/>
        <w:rPr>
          <w:lang w:val="es-HN"/>
        </w:rPr>
      </w:pPr>
    </w:p>
    <w:sectPr w:rsidR="006A101C" w:rsidRPr="006A10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0A6E" w14:textId="77777777" w:rsidR="005B5F72" w:rsidRDefault="005B5F72" w:rsidP="006A101C">
      <w:pPr>
        <w:spacing w:after="0" w:line="240" w:lineRule="auto"/>
      </w:pPr>
      <w:r>
        <w:separator/>
      </w:r>
    </w:p>
  </w:endnote>
  <w:endnote w:type="continuationSeparator" w:id="0">
    <w:p w14:paraId="2801A35A" w14:textId="77777777" w:rsidR="005B5F72" w:rsidRDefault="005B5F72" w:rsidP="006A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0B37" w14:textId="77777777" w:rsidR="005B5F72" w:rsidRDefault="005B5F72" w:rsidP="006A101C">
      <w:pPr>
        <w:spacing w:after="0" w:line="240" w:lineRule="auto"/>
      </w:pPr>
      <w:r>
        <w:separator/>
      </w:r>
    </w:p>
  </w:footnote>
  <w:footnote w:type="continuationSeparator" w:id="0">
    <w:p w14:paraId="6B9C39AE" w14:textId="77777777" w:rsidR="005B5F72" w:rsidRDefault="005B5F72" w:rsidP="006A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6D2B" w14:textId="77777777" w:rsidR="00905D08" w:rsidRDefault="00905D08" w:rsidP="006A101C">
    <w:pPr>
      <w:pStyle w:val="Encabezado"/>
      <w:jc w:val="center"/>
    </w:pPr>
    <w:r>
      <w:rPr>
        <w:noProof/>
        <w:lang w:val="es-HN" w:eastAsia="es-HN"/>
      </w:rPr>
      <w:drawing>
        <wp:inline distT="0" distB="0" distL="0" distR="0" wp14:anchorId="3ABFA50A" wp14:editId="652B5675">
          <wp:extent cx="1939514" cy="591185"/>
          <wp:effectExtent l="0" t="0" r="3810" b="0"/>
          <wp:docPr id="2" name="Imagen 2" descr="https://lh3.googleusercontent.com/TgMRkRUvwkGpxjLcWzdonh4fzWDXHkfC-7UPBRkA7Uma0_KUtz3gt2Ll-k8NUn4Ha_4-fwV97AK4R5Ajx_CnuQucxYbGoWiCH4alJsFmP_NhzNI177-GAf-Vy4uPnZGuzGbhRP1S2cRXHBAW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TgMRkRUvwkGpxjLcWzdonh4fzWDXHkfC-7UPBRkA7Uma0_KUtz3gt2Ll-k8NUn4Ha_4-fwV97AK4R5Ajx_CnuQucxYbGoWiCH4alJsFmP_NhzNI177-GAf-Vy4uPnZGuzGbhRP1S2cRXHBAW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64" cy="598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0C9DD" w14:textId="77777777" w:rsidR="00905D08" w:rsidRDefault="00905D08" w:rsidP="006A101C">
    <w:pPr>
      <w:pStyle w:val="Encabezado"/>
      <w:jc w:val="center"/>
    </w:pPr>
  </w:p>
  <w:p w14:paraId="571CE273" w14:textId="77777777" w:rsidR="00905D08" w:rsidRPr="006A101C" w:rsidRDefault="00905D08" w:rsidP="006A101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1C"/>
    <w:rsid w:val="00011834"/>
    <w:rsid w:val="00021EA1"/>
    <w:rsid w:val="0002271C"/>
    <w:rsid w:val="000457FF"/>
    <w:rsid w:val="001005A8"/>
    <w:rsid w:val="0010164F"/>
    <w:rsid w:val="00111073"/>
    <w:rsid w:val="00147C5F"/>
    <w:rsid w:val="00162243"/>
    <w:rsid w:val="00186833"/>
    <w:rsid w:val="001B641F"/>
    <w:rsid w:val="00203018"/>
    <w:rsid w:val="0022645A"/>
    <w:rsid w:val="00247A22"/>
    <w:rsid w:val="002778C5"/>
    <w:rsid w:val="00296CD5"/>
    <w:rsid w:val="002A2071"/>
    <w:rsid w:val="002D45DD"/>
    <w:rsid w:val="002F398C"/>
    <w:rsid w:val="002F671E"/>
    <w:rsid w:val="00321C82"/>
    <w:rsid w:val="00324093"/>
    <w:rsid w:val="00324206"/>
    <w:rsid w:val="00325564"/>
    <w:rsid w:val="00374F84"/>
    <w:rsid w:val="004401D5"/>
    <w:rsid w:val="00440F41"/>
    <w:rsid w:val="004D0855"/>
    <w:rsid w:val="004E4E13"/>
    <w:rsid w:val="005A32B2"/>
    <w:rsid w:val="005B5F72"/>
    <w:rsid w:val="005C203D"/>
    <w:rsid w:val="005C564E"/>
    <w:rsid w:val="005E35EF"/>
    <w:rsid w:val="005F06E5"/>
    <w:rsid w:val="00666E00"/>
    <w:rsid w:val="006A101C"/>
    <w:rsid w:val="006C4AE3"/>
    <w:rsid w:val="0070024D"/>
    <w:rsid w:val="0074079C"/>
    <w:rsid w:val="007810F4"/>
    <w:rsid w:val="00790AB1"/>
    <w:rsid w:val="008842FE"/>
    <w:rsid w:val="008C15F5"/>
    <w:rsid w:val="008D18B5"/>
    <w:rsid w:val="008E4C05"/>
    <w:rsid w:val="00905D08"/>
    <w:rsid w:val="00934A78"/>
    <w:rsid w:val="00940956"/>
    <w:rsid w:val="0094563A"/>
    <w:rsid w:val="009612B4"/>
    <w:rsid w:val="009B5CDB"/>
    <w:rsid w:val="009C4AF0"/>
    <w:rsid w:val="009D3435"/>
    <w:rsid w:val="009F12F3"/>
    <w:rsid w:val="009F44CF"/>
    <w:rsid w:val="00A044FE"/>
    <w:rsid w:val="00A35DC4"/>
    <w:rsid w:val="00A64474"/>
    <w:rsid w:val="00A96028"/>
    <w:rsid w:val="00AC4834"/>
    <w:rsid w:val="00AC6FA9"/>
    <w:rsid w:val="00B1518E"/>
    <w:rsid w:val="00B152FC"/>
    <w:rsid w:val="00B26E34"/>
    <w:rsid w:val="00B61447"/>
    <w:rsid w:val="00B74102"/>
    <w:rsid w:val="00B764F4"/>
    <w:rsid w:val="00B81912"/>
    <w:rsid w:val="00B8788E"/>
    <w:rsid w:val="00B97135"/>
    <w:rsid w:val="00BA131B"/>
    <w:rsid w:val="00BE7338"/>
    <w:rsid w:val="00C157CC"/>
    <w:rsid w:val="00C22D65"/>
    <w:rsid w:val="00C535AB"/>
    <w:rsid w:val="00CC6F02"/>
    <w:rsid w:val="00CF415B"/>
    <w:rsid w:val="00D1477F"/>
    <w:rsid w:val="00D30B5F"/>
    <w:rsid w:val="00D34201"/>
    <w:rsid w:val="00DA5BBC"/>
    <w:rsid w:val="00DB78F5"/>
    <w:rsid w:val="00DE258A"/>
    <w:rsid w:val="00DE670D"/>
    <w:rsid w:val="00E04E6F"/>
    <w:rsid w:val="00E64862"/>
    <w:rsid w:val="00E923E2"/>
    <w:rsid w:val="00EC3B98"/>
    <w:rsid w:val="00ED6B91"/>
    <w:rsid w:val="00EF7263"/>
    <w:rsid w:val="00F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68963"/>
  <w15:chartTrackingRefBased/>
  <w15:docId w15:val="{4F6C3F75-8F53-46C0-B28F-1CB06D1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1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01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A1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01C"/>
    <w:rPr>
      <w:lang w:val="en-US"/>
    </w:rPr>
  </w:style>
  <w:style w:type="table" w:styleId="Tablaconcuadrcula">
    <w:name w:val="Table Grid"/>
    <w:basedOn w:val="Tablanormal"/>
    <w:uiPriority w:val="39"/>
    <w:rsid w:val="006A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4CF"/>
    <w:rPr>
      <w:rFonts w:ascii="Segoe UI" w:hAnsi="Segoe UI" w:cs="Segoe UI"/>
      <w:sz w:val="18"/>
      <w:szCs w:val="18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51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518E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15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B02F-5258-43B7-BF73-98B37E99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Diaz</dc:creator>
  <cp:keywords/>
  <dc:description/>
  <cp:lastModifiedBy>Maribel Diaz</cp:lastModifiedBy>
  <cp:revision>3</cp:revision>
  <cp:lastPrinted>2022-09-27T16:04:00Z</cp:lastPrinted>
  <dcterms:created xsi:type="dcterms:W3CDTF">2022-09-27T15:59:00Z</dcterms:created>
  <dcterms:modified xsi:type="dcterms:W3CDTF">2022-09-27T16:06:00Z</dcterms:modified>
</cp:coreProperties>
</file>